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jc w:val="left"/>
        <w:rPr>
          <w:rFonts w:ascii="楷体_GB2312" w:hAnsi="楷体_GB2312" w:eastAsia="楷体_GB2312" w:cs="楷体_GB2312"/>
          <w:bCs/>
          <w:sz w:val="28"/>
          <w:szCs w:val="28"/>
        </w:rPr>
      </w:pPr>
      <w:r>
        <w:rPr>
          <w:rFonts w:hint="eastAsia" w:ascii="楷体_GB2312" w:hAnsi="楷体_GB2312" w:eastAsia="楷体_GB2312" w:cs="楷体_GB2312"/>
          <w:bCs/>
          <w:sz w:val="28"/>
          <w:szCs w:val="28"/>
        </w:rPr>
        <w:t>军队物资工程服务采购合同示范文本（2.</w:t>
      </w:r>
      <w:r>
        <w:rPr>
          <w:rFonts w:hint="eastAsia" w:ascii="楷体_GB2312" w:hAnsi="楷体_GB2312" w:eastAsia="楷体_GB2312" w:cs="楷体_GB2312"/>
          <w:bCs/>
          <w:sz w:val="28"/>
          <w:szCs w:val="28"/>
          <w:lang w:val="en-US" w:eastAsia="zh-CN"/>
        </w:rPr>
        <w:t>1</w:t>
      </w:r>
      <w:r>
        <w:rPr>
          <w:rFonts w:hint="eastAsia" w:ascii="楷体_GB2312" w:hAnsi="楷体_GB2312" w:eastAsia="楷体_GB2312" w:cs="楷体_GB2312"/>
          <w:bCs/>
          <w:sz w:val="28"/>
          <w:szCs w:val="28"/>
        </w:rPr>
        <w:t>版）</w:t>
      </w: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jc w:val="center"/>
        <w:rPr>
          <w:rFonts w:ascii="方正小标宋简体" w:hAnsi="方正小标宋简体" w:eastAsia="方正小标宋简体" w:cs="方正小标宋简体"/>
          <w:bCs/>
          <w:snapToGrid w:val="0"/>
          <w:kern w:val="0"/>
          <w:sz w:val="52"/>
          <w:szCs w:val="52"/>
        </w:rPr>
      </w:pPr>
      <w:r>
        <w:rPr>
          <w:rFonts w:hint="eastAsia" w:ascii="方正小标宋简体" w:hAnsi="方正小标宋简体" w:eastAsia="方正小标宋简体" w:cs="方正小标宋简体"/>
          <w:bCs/>
          <w:snapToGrid w:val="0"/>
          <w:kern w:val="0"/>
          <w:sz w:val="52"/>
          <w:szCs w:val="52"/>
        </w:rPr>
        <w:t>车辆</w:t>
      </w:r>
      <w:r>
        <w:rPr>
          <w:rFonts w:ascii="方正小标宋简体" w:hAnsi="方正小标宋简体" w:eastAsia="方正小标宋简体" w:cs="方正小标宋简体"/>
          <w:bCs/>
          <w:snapToGrid w:val="0"/>
          <w:kern w:val="0"/>
          <w:sz w:val="52"/>
          <w:szCs w:val="52"/>
        </w:rPr>
        <w:t>运输保障</w:t>
      </w:r>
      <w:r>
        <w:rPr>
          <w:rFonts w:hint="eastAsia" w:ascii="方正小标宋简体" w:hAnsi="方正小标宋简体" w:eastAsia="方正小标宋简体" w:cs="方正小标宋简体"/>
          <w:bCs/>
          <w:snapToGrid w:val="0"/>
          <w:kern w:val="0"/>
          <w:sz w:val="52"/>
          <w:szCs w:val="52"/>
        </w:rPr>
        <w:t>服务项目采购合同</w:t>
      </w: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rFonts w:ascii="黑体" w:hAnsi="黑体" w:eastAsia="黑体" w:cs="黑体"/>
          <w:bCs/>
          <w:snapToGrid w:val="0"/>
          <w:kern w:val="0"/>
          <w:szCs w:val="32"/>
        </w:rPr>
      </w:pPr>
    </w:p>
    <w:p>
      <w:pPr>
        <w:adjustRightInd w:val="0"/>
        <w:spacing w:line="720" w:lineRule="exact"/>
        <w:ind w:left="1600" w:leftChars="500"/>
        <w:jc w:val="left"/>
        <w:rPr>
          <w:rFonts w:ascii="黑体" w:hAnsi="黑体" w:eastAsia="黑体" w:cs="黑体"/>
          <w:bCs/>
          <w:snapToGrid w:val="0"/>
          <w:kern w:val="0"/>
          <w:szCs w:val="32"/>
        </w:rPr>
      </w:pPr>
    </w:p>
    <w:p>
      <w:pPr>
        <w:adjustRightInd w:val="0"/>
        <w:spacing w:line="720" w:lineRule="exact"/>
        <w:ind w:left="1440" w:leftChars="450"/>
        <w:jc w:val="left"/>
        <w:rPr>
          <w:bCs/>
          <w:snapToGrid w:val="0"/>
          <w:kern w:val="0"/>
          <w:szCs w:val="32"/>
          <w:u w:val="single"/>
        </w:rPr>
      </w:pPr>
      <w:r>
        <w:rPr>
          <w:rFonts w:hint="eastAsia" w:ascii="黑体" w:hAnsi="黑体" w:eastAsia="黑体" w:cs="黑体"/>
          <w:bCs/>
          <w:snapToGrid w:val="0"/>
          <w:kern w:val="0"/>
          <w:szCs w:val="32"/>
        </w:rPr>
        <w:t>项目名称:</w:t>
      </w:r>
      <w:r>
        <w:rPr>
          <w:rFonts w:hint="eastAsia"/>
          <w:bCs/>
          <w:szCs w:val="32"/>
          <w:u w:val="single"/>
        </w:rPr>
        <w:t xml:space="preserve">                             </w:t>
      </w:r>
    </w:p>
    <w:p>
      <w:pPr>
        <w:adjustRightInd w:val="0"/>
        <w:spacing w:line="720" w:lineRule="exact"/>
        <w:ind w:left="1440" w:leftChars="450"/>
        <w:jc w:val="left"/>
        <w:rPr>
          <w:bCs/>
          <w:snapToGrid w:val="0"/>
          <w:kern w:val="0"/>
          <w:szCs w:val="32"/>
        </w:rPr>
      </w:pPr>
      <w:r>
        <w:rPr>
          <w:rFonts w:hint="eastAsia" w:ascii="黑体" w:hAnsi="黑体" w:eastAsia="黑体" w:cs="黑体"/>
          <w:bCs/>
          <w:snapToGrid w:val="0"/>
          <w:kern w:val="0"/>
          <w:szCs w:val="32"/>
        </w:rPr>
        <w:t>项目编号:</w:t>
      </w:r>
      <w:r>
        <w:rPr>
          <w:rFonts w:hint="eastAsia"/>
          <w:bCs/>
          <w:szCs w:val="32"/>
          <w:u w:val="single"/>
        </w:rPr>
        <w:t xml:space="preserve">                             </w:t>
      </w:r>
    </w:p>
    <w:p>
      <w:pPr>
        <w:adjustRightInd w:val="0"/>
        <w:spacing w:line="720" w:lineRule="exact"/>
        <w:ind w:left="1440" w:leftChars="450"/>
        <w:jc w:val="left"/>
        <w:rPr>
          <w:bCs/>
          <w:snapToGrid w:val="0"/>
          <w:kern w:val="0"/>
          <w:szCs w:val="32"/>
        </w:rPr>
      </w:pPr>
      <w:r>
        <w:rPr>
          <w:rFonts w:hint="eastAsia" w:ascii="黑体" w:hAnsi="黑体" w:eastAsia="黑体" w:cs="黑体"/>
          <w:bCs/>
          <w:snapToGrid w:val="0"/>
          <w:kern w:val="0"/>
          <w:szCs w:val="32"/>
        </w:rPr>
        <w:t>合同编号:</w:t>
      </w:r>
      <w:r>
        <w:rPr>
          <w:rFonts w:hint="eastAsia"/>
          <w:bCs/>
          <w:szCs w:val="32"/>
          <w:u w:val="single"/>
        </w:rPr>
        <w:t xml:space="preserve">                             </w:t>
      </w:r>
    </w:p>
    <w:p>
      <w:pPr>
        <w:adjustRightInd w:val="0"/>
        <w:spacing w:line="720" w:lineRule="exact"/>
        <w:ind w:left="1440" w:leftChars="450"/>
        <w:rPr>
          <w:b/>
          <w:snapToGrid w:val="0"/>
          <w:kern w:val="0"/>
          <w:szCs w:val="32"/>
        </w:rPr>
      </w:pPr>
    </w:p>
    <w:p>
      <w:pPr>
        <w:adjustRightInd w:val="0"/>
        <w:spacing w:line="720" w:lineRule="exact"/>
        <w:ind w:left="1440" w:leftChars="450"/>
        <w:rPr>
          <w:b/>
          <w:snapToGrid w:val="0"/>
          <w:kern w:val="0"/>
          <w:szCs w:val="32"/>
        </w:rPr>
      </w:pPr>
    </w:p>
    <w:p>
      <w:pPr>
        <w:adjustRightInd w:val="0"/>
        <w:spacing w:line="720" w:lineRule="exact"/>
        <w:ind w:left="3024" w:leftChars="450" w:hanging="1584" w:hangingChars="495"/>
        <w:jc w:val="left"/>
        <w:rPr>
          <w:bCs/>
          <w:snapToGrid w:val="0"/>
          <w:kern w:val="0"/>
          <w:szCs w:val="32"/>
        </w:rPr>
      </w:pPr>
      <w:r>
        <w:rPr>
          <w:rFonts w:hint="eastAsia" w:ascii="黑体" w:hAnsi="黑体" w:eastAsia="黑体" w:cs="黑体"/>
          <w:bCs/>
          <w:snapToGrid w:val="0"/>
          <w:kern w:val="0"/>
          <w:szCs w:val="32"/>
        </w:rPr>
        <w:t>甲方（采购单位）:</w:t>
      </w:r>
      <w:r>
        <w:rPr>
          <w:rFonts w:hint="eastAsia"/>
          <w:bCs/>
          <w:snapToGrid w:val="0"/>
          <w:kern w:val="0"/>
          <w:szCs w:val="32"/>
          <w:u w:val="single"/>
        </w:rPr>
        <w:t xml:space="preserve">                     </w:t>
      </w:r>
    </w:p>
    <w:p>
      <w:pPr>
        <w:adjustRightInd w:val="0"/>
        <w:spacing w:line="720" w:lineRule="exact"/>
        <w:ind w:left="3024" w:leftChars="450" w:hanging="1584" w:hangingChars="495"/>
        <w:jc w:val="left"/>
        <w:rPr>
          <w:bCs/>
          <w:snapToGrid w:val="0"/>
          <w:kern w:val="0"/>
          <w:szCs w:val="32"/>
          <w:u w:val="single"/>
        </w:rPr>
      </w:pPr>
      <w:r>
        <w:rPr>
          <w:rFonts w:hint="eastAsia" w:ascii="黑体" w:hAnsi="黑体" w:eastAsia="黑体" w:cs="黑体"/>
          <w:bCs/>
          <w:snapToGrid w:val="0"/>
          <w:kern w:val="0"/>
          <w:szCs w:val="32"/>
        </w:rPr>
        <w:t>乙方（供 应 商）:</w:t>
      </w:r>
      <w:r>
        <w:rPr>
          <w:rFonts w:hint="eastAsia"/>
          <w:bCs/>
          <w:snapToGrid w:val="0"/>
          <w:kern w:val="0"/>
          <w:szCs w:val="32"/>
          <w:u w:val="single"/>
        </w:rPr>
        <w:t xml:space="preserve">                     </w:t>
      </w:r>
    </w:p>
    <w:p>
      <w:pPr>
        <w:adjustRightInd w:val="0"/>
        <w:spacing w:line="720" w:lineRule="exact"/>
        <w:ind w:left="1600" w:leftChars="500"/>
        <w:rPr>
          <w:b/>
          <w:snapToGrid w:val="0"/>
          <w:kern w:val="0"/>
          <w:szCs w:val="32"/>
        </w:rPr>
      </w:pPr>
    </w:p>
    <w:p>
      <w:pPr>
        <w:adjustRightInd w:val="0"/>
        <w:spacing w:line="720" w:lineRule="exact"/>
        <w:ind w:left="1600" w:leftChars="500"/>
        <w:rPr>
          <w:b/>
          <w:snapToGrid w:val="0"/>
          <w:kern w:val="0"/>
          <w:szCs w:val="32"/>
        </w:rPr>
      </w:pPr>
    </w:p>
    <w:p>
      <w:pPr>
        <w:pStyle w:val="3"/>
        <w:keepNext w:val="0"/>
        <w:keepLines w:val="0"/>
        <w:adjustRightInd w:val="0"/>
        <w:spacing w:before="0" w:after="0" w:line="560" w:lineRule="exact"/>
        <w:jc w:val="center"/>
        <w:rPr>
          <w:rFonts w:ascii="方正小标宋简体" w:hAnsi="方正小标宋简体" w:eastAsia="方正小标宋简体" w:cs="方正小标宋简体"/>
          <w:b w:val="0"/>
          <w:bCs w:val="0"/>
          <w:lang w:val="zh-CN"/>
        </w:rPr>
        <w:sectPr>
          <w:footerReference r:id="rId4" w:type="first"/>
          <w:footerReference r:id="rId3" w:type="default"/>
          <w:pgSz w:w="11906" w:h="16838"/>
          <w:pgMar w:top="2098" w:right="1474" w:bottom="1984" w:left="1587" w:header="851" w:footer="992" w:gutter="0"/>
          <w:pgNumType w:start="0"/>
          <w:cols w:space="0" w:num="1"/>
          <w:docGrid w:type="lines" w:linePitch="490" w:charSpace="0"/>
        </w:sectPr>
      </w:pPr>
    </w:p>
    <w:p>
      <w:pPr>
        <w:pStyle w:val="3"/>
        <w:keepNext w:val="0"/>
        <w:keepLines w:val="0"/>
        <w:adjustRightInd w:val="0"/>
        <w:spacing w:before="0" w:after="0" w:line="530" w:lineRule="exact"/>
        <w:jc w:val="center"/>
        <w:rPr>
          <w:rFonts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合同通用条款</w:t>
      </w:r>
    </w:p>
    <w:p>
      <w:pPr>
        <w:adjustRightInd w:val="0"/>
        <w:spacing w:line="530" w:lineRule="exact"/>
        <w:ind w:firstLine="560" w:firstLineChars="200"/>
        <w:rPr>
          <w:rFonts w:ascii="仿宋" w:hAnsi="仿宋"/>
          <w:bCs/>
          <w:sz w:val="28"/>
          <w:szCs w:val="28"/>
        </w:rPr>
      </w:pPr>
    </w:p>
    <w:p>
      <w:pPr>
        <w:pStyle w:val="6"/>
        <w:keepNext w:val="0"/>
        <w:keepLines w:val="0"/>
        <w:adjustRightInd w:val="0"/>
        <w:spacing w:before="0" w:after="0" w:line="530" w:lineRule="exact"/>
        <w:ind w:firstLine="560" w:firstLineChars="200"/>
        <w:rPr>
          <w:b w:val="0"/>
          <w:bCs w:val="0"/>
        </w:rPr>
      </w:pPr>
      <w:r>
        <w:rPr>
          <w:rFonts w:hint="eastAsia"/>
          <w:b w:val="0"/>
          <w:bCs w:val="0"/>
        </w:rPr>
        <w:t>一、定义</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（一）“合同”是指甲方和乙方（以下简称双方）已达成的协议。</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（二）“甲方”是指采购服务的采购单位，或者受采购单位委托的采购机构。</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（三）“乙方”是指中标（成交）后提供服务的供应商。</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（四）“合同金额”是指根据合同约定，在乙方全面正确地履行合同义务时支付给乙方的款项。</w:t>
      </w:r>
    </w:p>
    <w:p>
      <w:pPr>
        <w:pStyle w:val="6"/>
        <w:keepNext w:val="0"/>
        <w:keepLines w:val="0"/>
        <w:adjustRightInd w:val="0"/>
        <w:spacing w:before="0" w:after="0" w:line="530" w:lineRule="exact"/>
        <w:ind w:firstLine="560" w:firstLineChars="200"/>
        <w:rPr>
          <w:rFonts w:ascii="楷体_GB2312" w:hAnsi="楷体_GB2312" w:eastAsia="楷体_GB2312" w:cs="楷体_GB2312"/>
          <w:sz w:val="21"/>
          <w:szCs w:val="21"/>
        </w:rPr>
      </w:pPr>
      <w:r>
        <w:rPr>
          <w:rFonts w:hint="eastAsia" w:ascii="仿宋" w:hAnsi="仿宋" w:eastAsia="仿宋_GB2312"/>
          <w:b w:val="0"/>
          <w:bCs w:val="0"/>
        </w:rPr>
        <w:t>（五）“服务”是指乙方根据合同约定向甲方交付或实施的服务。</w:t>
      </w:r>
      <w:r>
        <w:rPr>
          <w:rFonts w:hint="eastAsia" w:ascii="楷体" w:hAnsi="楷体" w:eastAsia="楷体_GB2312" w:cs="楷体_GB2312"/>
          <w:b w:val="0"/>
          <w:bCs w:val="0"/>
          <w:sz w:val="21"/>
          <w:szCs w:val="21"/>
        </w:rPr>
        <w:t>（</w:t>
      </w:r>
      <w:r>
        <w:rPr>
          <w:rFonts w:hint="eastAsia" w:ascii="楷体" w:hAnsi="楷体" w:eastAsia="楷体_GB2312" w:cs="楷体_GB2312"/>
          <w:b w:val="0"/>
          <w:bCs w:val="0"/>
          <w:sz w:val="24"/>
          <w:szCs w:val="24"/>
        </w:rPr>
        <w:t>交付类项目，是指在选择乙方后，由乙方按合同要求提供成果或者产品，如设计、规划、软件开发类等项目；实施类项目，是指在选择乙方后，由乙方按合同要求实施服务，如营区内饮食社会化保障、营区内超市（便利店）、物业管理服务类等项目</w:t>
      </w:r>
      <w:r>
        <w:rPr>
          <w:rFonts w:hint="eastAsia" w:ascii="楷体" w:hAnsi="楷体" w:eastAsia="楷体_GB2312" w:cs="楷体_GB2312"/>
          <w:b w:val="0"/>
          <w:bCs w:val="0"/>
          <w:sz w:val="21"/>
          <w:szCs w:val="21"/>
        </w:rPr>
        <w:t>）</w:t>
      </w:r>
    </w:p>
    <w:p>
      <w:pPr>
        <w:pStyle w:val="6"/>
        <w:keepNext w:val="0"/>
        <w:keepLines w:val="0"/>
        <w:adjustRightInd w:val="0"/>
        <w:spacing w:before="0" w:after="0" w:line="530" w:lineRule="exact"/>
        <w:ind w:firstLine="560" w:firstLineChars="200"/>
        <w:rPr>
          <w:b w:val="0"/>
          <w:bCs w:val="0"/>
        </w:rPr>
      </w:pPr>
      <w:r>
        <w:rPr>
          <w:rFonts w:hint="eastAsia"/>
          <w:b w:val="0"/>
          <w:bCs w:val="0"/>
        </w:rPr>
        <w:t>二、知识产权</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乙方应当保证甲方在使用乙方交付的服务成果时不受第三方提出侵犯其知识产权的指控，对此甲方不承担任何连带责任或赔偿责任。</w:t>
      </w:r>
    </w:p>
    <w:p>
      <w:pPr>
        <w:pStyle w:val="6"/>
        <w:keepNext w:val="0"/>
        <w:keepLines w:val="0"/>
        <w:adjustRightInd w:val="0"/>
        <w:spacing w:before="0" w:after="0" w:line="530" w:lineRule="exact"/>
        <w:ind w:firstLine="560" w:firstLineChars="200"/>
        <w:rPr>
          <w:b w:val="0"/>
          <w:bCs w:val="0"/>
        </w:rPr>
      </w:pPr>
      <w:r>
        <w:rPr>
          <w:rFonts w:hint="eastAsia"/>
          <w:b w:val="0"/>
          <w:bCs w:val="0"/>
        </w:rPr>
        <w:t>三、合同的变更和解除</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（一）因合同变更、解除造成损失的，过错方应当按照合同约定或者国家法律法规承担赔偿责任，双方都有过错的，应当按照合同约定或者国家法律法规各自承担相应的责任。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（二）合同履行中，存在以下情形之一的，经双方协商一致，并由甲方按照军队有关规定办理审批后，可以变更合同：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甲方需要追加或者减少与合同标的相同的物资或者服务的，在不改变合同其他条款的前提下，可以与乙方协商，进行协议追加或者减少；追加采购金额不得超过原合同采购金额的10%；按照预先采购结果、共享共用采购结果等订立的采购合同，其变更适用情形另有规定的，按照有关规定执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2.因产品停产、技术升级等不可预知的客观原因导致合同难以履行，需要更换同品牌升级产品或者同品质升级服务，甲方可以视情组织专家论证，签订合同变更协议，但合同标的单价不得提高。</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3.甲方因职能任务调整，需要由其他军队单位承接合同权利义务的，或者乙方名称、住所等信息依法登记变更的，可以对合同相应信息进行变更。</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4.继续履行合同将损害国家或者军队利益，通过合同变更能够消除相应损害的，可以变更合同。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5.国家法律法规规定或者合同约定的其他合同变更的情形。</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（三）合同履行中，存在以下情形之一的，甲方有权解除合同：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1.因不可抗力无法履行合同，不能实现合同目的的；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2.继续履行合同将损害国家或者甲方利益，且无法通过合同变更或者中止方式解决的；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3.采购任务调整或者取消，不能通过合同变更方式达成新协议的；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4.乙方明确表示或者以自己的行为表明不履行合同主要义务的；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5.乙方迟延履行合同主要义务，经催告后在限定合理整改期限内仍不履行的；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6.乙方存在违规违约行为致使不能实现合同目的的；</w:t>
      </w:r>
    </w:p>
    <w:p>
      <w:pPr>
        <w:adjustRightInd w:val="0"/>
        <w:spacing w:line="530" w:lineRule="exact"/>
        <w:ind w:firstLine="560" w:firstLineChars="200"/>
        <w:rPr>
          <w:rFonts w:hint="eastAsia" w:ascii="仿宋_GB2312" w:hAnsi="仿宋_GB2312" w:eastAsia="仿宋_GB2312" w:cs="仿宋_GB2312"/>
          <w:bCs/>
          <w:sz w:val="28"/>
          <w:szCs w:val="28"/>
          <w:lang w:val="zh-CN"/>
        </w:rPr>
      </w:pPr>
      <w:r>
        <w:rPr>
          <w:rFonts w:hint="eastAsia" w:ascii="仿宋_GB2312" w:hAnsi="仿宋_GB2312" w:eastAsia="仿宋_GB2312" w:cs="仿宋_GB2312"/>
          <w:bCs/>
          <w:sz w:val="28"/>
          <w:szCs w:val="28"/>
        </w:rPr>
        <w:t>7.乙方</w:t>
      </w:r>
      <w:r>
        <w:rPr>
          <w:rFonts w:hint="eastAsia" w:ascii="仿宋_GB2312" w:hAnsi="仿宋_GB2312" w:eastAsia="仿宋_GB2312" w:cs="仿宋_GB2312"/>
          <w:bCs/>
          <w:sz w:val="28"/>
          <w:szCs w:val="28"/>
          <w:lang w:val="zh-CN"/>
        </w:rPr>
        <w:t>发生控股关系、经营范围等重大实质性变化，不符合合同约定的；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8.国家法律法规规定或者合同约定的其他情形。</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（四）解除合同时，合同尚未履行的部分终止履行；对于乙方已履行的部分，双方区分情形，按照以下约定办理：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1.合同已履行并验收合格的部分，乙方没有违规违约行为的，甲方应当按照合同办理支付结算；乙方存在违规违约行为的，甲方应当按照本合同约定扣除违规违约赔偿费用后，办理支付结算。</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2.合同已履行部分存在质量瑕疵的，甲方有权要求乙方采取修理、重作、更换、双方协商减价等补救措施，验收合格后，按照本项第1条办理支付结算。</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3.合同已履行部分根据甲方要求经乙方补救后仍未达到合同约定要求的，甲方有权拒绝支付相应的费用。</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4.乙方对合同解除负有主要过错责任的，甲方有权拒绝接收合同已履行部分服务。</w:t>
      </w:r>
    </w:p>
    <w:p>
      <w:pPr>
        <w:pStyle w:val="6"/>
        <w:keepNext w:val="0"/>
        <w:keepLines w:val="0"/>
        <w:adjustRightInd w:val="0"/>
        <w:spacing w:before="0" w:after="0" w:line="530" w:lineRule="exact"/>
        <w:ind w:firstLine="560" w:firstLineChars="200"/>
        <w:rPr>
          <w:b w:val="0"/>
          <w:bCs w:val="0"/>
        </w:rPr>
      </w:pPr>
      <w:r>
        <w:rPr>
          <w:rFonts w:hint="eastAsia"/>
          <w:b w:val="0"/>
          <w:bCs w:val="0"/>
        </w:rPr>
        <w:t>四、履约监督</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（一）乙方应当接受甲方对其资质和履约能力进行监管，并保证在其资质和履约能力发生变化时及时向甲方通报，乙方存在法律规定的丧失或者可能丧失合同履行能力有关情形时，甲方有权中止合同履行：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1.经营状况严重恶化的；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2.转移财产、抽逃资金，以逃避债务的；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3.丧失商业信誉的；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4.有丧失或者可能丧失履行合同能力的其他情形。</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甲方中止合同履行的，应当及时通知乙方。乙方提供适当担保的，甲方应当恢复履行。如果乙方在合理期限内未恢复履行能力且未提供适当担保的，甲方有权解除合同，并要求乙方承担违约责任。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（二）在不妨碍乙方正常作业的情况下，甲方有权不定期对服务的进度和过程质量管控情况进行监督检查，乙方承诺予以配合，如实反映情况，提供相关材料。</w:t>
      </w:r>
    </w:p>
    <w:p>
      <w:pPr>
        <w:adjustRightInd w:val="0"/>
        <w:spacing w:line="530" w:lineRule="exact"/>
        <w:ind w:firstLine="560" w:firstLineChars="200"/>
        <w:rPr>
          <w:bCs/>
          <w:sz w:val="28"/>
          <w:szCs w:val="28"/>
        </w:rPr>
      </w:pPr>
      <w:r>
        <w:rPr>
          <w:rFonts w:hint="eastAsia" w:ascii="仿宋" w:hAnsi="仿宋" w:eastAsia="仿宋_GB2312"/>
          <w:bCs/>
          <w:sz w:val="28"/>
          <w:szCs w:val="28"/>
        </w:rPr>
        <w:t>（三）乙方对于甲方采购管理部门、纪检监察部门、审计部门等职能部门开展的调查，承诺予以配合，如实反映情况，提供相关材料。</w:t>
      </w:r>
    </w:p>
    <w:p>
      <w:pPr>
        <w:pStyle w:val="6"/>
        <w:keepNext w:val="0"/>
        <w:keepLines w:val="0"/>
        <w:adjustRightInd w:val="0"/>
        <w:spacing w:before="0" w:after="0" w:line="530" w:lineRule="exact"/>
        <w:ind w:firstLine="560" w:firstLineChars="200"/>
        <w:rPr>
          <w:b w:val="0"/>
          <w:bCs w:val="0"/>
        </w:rPr>
      </w:pPr>
      <w:r>
        <w:rPr>
          <w:rFonts w:hint="eastAsia"/>
          <w:b w:val="0"/>
          <w:bCs w:val="0"/>
        </w:rPr>
        <w:t>五、转包与分包</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（一）乙方不得以任何形式将合同转包。</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（二）乙方</w:t>
      </w:r>
      <w:r>
        <w:rPr>
          <w:rFonts w:hint="eastAsia" w:ascii="仿宋" w:hAnsi="仿宋"/>
          <w:bCs/>
          <w:sz w:val="28"/>
          <w:szCs w:val="28"/>
          <w:lang w:eastAsia="zh-CN"/>
        </w:rPr>
        <w:t>通常</w:t>
      </w:r>
      <w:r>
        <w:rPr>
          <w:rFonts w:hint="eastAsia" w:ascii="仿宋" w:hAnsi="仿宋" w:eastAsia="仿宋_GB2312"/>
          <w:bCs/>
          <w:sz w:val="28"/>
          <w:szCs w:val="28"/>
        </w:rPr>
        <w:t>不得将合同分包，采购文件允许并在投标（报价）文件中说明的情形除外。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（三）合同分包履行的，乙方应当与分包承担主体就分包项目向甲方承担连带责任。</w:t>
      </w:r>
    </w:p>
    <w:p>
      <w:pPr>
        <w:pStyle w:val="6"/>
        <w:keepNext w:val="0"/>
        <w:keepLines w:val="0"/>
        <w:adjustRightInd w:val="0"/>
        <w:spacing w:before="0" w:after="0" w:line="530" w:lineRule="exact"/>
        <w:ind w:firstLine="560" w:firstLineChars="200"/>
        <w:rPr>
          <w:b w:val="0"/>
          <w:bCs w:val="0"/>
        </w:rPr>
      </w:pPr>
      <w:r>
        <w:rPr>
          <w:rFonts w:hint="eastAsia"/>
          <w:b w:val="0"/>
          <w:bCs w:val="0"/>
        </w:rPr>
        <w:t>六、争议解决方式</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合同履行过程中，发生争议时，按照下列方式解决：</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（一）甲方和乙方协商解决。</w:t>
      </w:r>
    </w:p>
    <w:p>
      <w:pPr>
        <w:adjustRightInd w:val="0"/>
        <w:spacing w:line="530" w:lineRule="exact"/>
        <w:ind w:firstLine="560" w:firstLineChars="200"/>
        <w:rPr>
          <w:bCs/>
          <w:sz w:val="28"/>
          <w:szCs w:val="28"/>
        </w:rPr>
      </w:pPr>
      <w:r>
        <w:rPr>
          <w:rFonts w:hint="eastAsia" w:ascii="仿宋" w:hAnsi="仿宋" w:eastAsia="仿宋_GB2312"/>
          <w:bCs/>
          <w:sz w:val="28"/>
          <w:szCs w:val="28"/>
        </w:rPr>
        <w:t>（二）协商不一致的，甲方或者乙方向采购机构负责合同履约的部门反映情况，请求第一次调解处理；第一次调解不成功的，向军级单位采购管理部门或者同等权限的采购管理部门请求第二次调解处理。</w:t>
      </w:r>
    </w:p>
    <w:p>
      <w:pPr>
        <w:pStyle w:val="6"/>
        <w:keepNext w:val="0"/>
        <w:keepLines w:val="0"/>
        <w:adjustRightInd w:val="0"/>
        <w:spacing w:before="0" w:after="0" w:line="530" w:lineRule="exact"/>
        <w:ind w:firstLine="560" w:firstLineChars="200"/>
        <w:rPr>
          <w:b w:val="0"/>
          <w:bCs w:val="0"/>
        </w:rPr>
      </w:pPr>
      <w:r>
        <w:rPr>
          <w:rFonts w:hint="eastAsia"/>
          <w:b w:val="0"/>
          <w:bCs w:val="0"/>
        </w:rPr>
        <w:t>七、组成合同的文件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组成本合同的文件及优先解释顺序如下：</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（一）采购合同及合同履行过程中双方协商达成的变更或补充协议；</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（二）中标（成交）通知书；</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（三）投标（报价）文件；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（四）采购文件；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（五）标准、规范及有关技术文件，图纸；</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（六）其他合同文件。</w:t>
      </w:r>
    </w:p>
    <w:p>
      <w:pPr>
        <w:pStyle w:val="6"/>
        <w:keepNext w:val="0"/>
        <w:keepLines w:val="0"/>
        <w:adjustRightInd w:val="0"/>
        <w:spacing w:before="0" w:after="0" w:line="530" w:lineRule="exact"/>
        <w:ind w:firstLine="560" w:firstLineChars="200"/>
        <w:rPr>
          <w:b w:val="0"/>
          <w:bCs w:val="0"/>
        </w:rPr>
      </w:pPr>
      <w:r>
        <w:rPr>
          <w:rFonts w:hint="eastAsia"/>
          <w:b w:val="0"/>
          <w:bCs w:val="0"/>
        </w:rPr>
        <w:t>八、其他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（一）合同未尽事宜，双方另行签订补充协议，补充协议是合同的组成部分。</w:t>
      </w:r>
    </w:p>
    <w:p>
      <w:pPr>
        <w:adjustRightInd w:val="0"/>
        <w:spacing w:line="530" w:lineRule="exact"/>
        <w:ind w:firstLine="560" w:firstLineChars="200"/>
        <w:rPr>
          <w:rFonts w:ascii="仿宋" w:hAnsi="仿宋" w:eastAsia="仿宋_GB2312"/>
          <w:szCs w:val="32"/>
        </w:rPr>
      </w:pPr>
      <w:r>
        <w:rPr>
          <w:rFonts w:hint="eastAsia" w:ascii="仿宋" w:hAnsi="仿宋" w:eastAsia="仿宋_GB2312"/>
          <w:bCs/>
          <w:sz w:val="28"/>
          <w:szCs w:val="28"/>
        </w:rPr>
        <w:t>（二）本合同按照军队合同备案管理规定统一编号后，报相关部门备案。</w:t>
      </w:r>
    </w:p>
    <w:p>
      <w:pPr>
        <w:pStyle w:val="3"/>
        <w:keepNext w:val="0"/>
        <w:keepLines w:val="0"/>
        <w:adjustRightInd w:val="0"/>
        <w:spacing w:before="0" w:after="0" w:line="530" w:lineRule="exact"/>
        <w:jc w:val="center"/>
        <w:rPr>
          <w:rFonts w:ascii="仿宋" w:hAnsi="仿宋" w:eastAsia="仿宋_GB2312"/>
          <w:b w:val="0"/>
          <w:bCs w:val="0"/>
        </w:rPr>
        <w:sectPr>
          <w:footerReference r:id="rId5" w:type="default"/>
          <w:footerReference r:id="rId6" w:type="even"/>
          <w:pgSz w:w="11906" w:h="16838"/>
          <w:pgMar w:top="2098" w:right="1474" w:bottom="1984" w:left="1587" w:header="851" w:footer="1247" w:gutter="0"/>
          <w:pgNumType w:start="1"/>
          <w:cols w:space="0" w:num="1"/>
          <w:docGrid w:type="lines" w:linePitch="490" w:charSpace="0"/>
        </w:sectPr>
      </w:pPr>
    </w:p>
    <w:p>
      <w:pPr>
        <w:pStyle w:val="3"/>
        <w:keepNext w:val="0"/>
        <w:keepLines w:val="0"/>
        <w:adjustRightInd w:val="0"/>
        <w:spacing w:before="0" w:after="0" w:line="530" w:lineRule="exact"/>
        <w:jc w:val="center"/>
        <w:rPr>
          <w:rFonts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合同专用条款</w:t>
      </w:r>
    </w:p>
    <w:p>
      <w:pPr>
        <w:rPr>
          <w:lang w:val="zh-CN"/>
        </w:rPr>
      </w:pPr>
    </w:p>
    <w:p>
      <w:pPr>
        <w:pStyle w:val="6"/>
        <w:keepNext w:val="0"/>
        <w:keepLines w:val="0"/>
        <w:adjustRightInd w:val="0"/>
        <w:spacing w:before="0" w:after="0" w:line="530" w:lineRule="exact"/>
        <w:ind w:firstLine="560" w:firstLineChars="200"/>
        <w:rPr>
          <w:b w:val="0"/>
          <w:bCs w:val="0"/>
        </w:rPr>
      </w:pPr>
      <w:r>
        <w:rPr>
          <w:rFonts w:hint="eastAsia"/>
          <w:b w:val="0"/>
          <w:bCs w:val="0"/>
        </w:rPr>
        <w:t>一、项目信息</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签订日期：</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年</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月</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日</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签订地点：</w:t>
      </w:r>
      <w:r>
        <w:rPr>
          <w:rFonts w:hint="eastAsia" w:ascii="仿宋" w:hAnsi="仿宋" w:eastAsia="仿宋_GB2312" w:cs="宋体"/>
          <w:bCs/>
          <w:sz w:val="28"/>
          <w:szCs w:val="28"/>
          <w:u w:val="single"/>
        </w:rPr>
        <w:t xml:space="preserve">              </w:t>
      </w:r>
    </w:p>
    <w:p>
      <w:pPr>
        <w:pStyle w:val="6"/>
        <w:keepNext w:val="0"/>
        <w:keepLines w:val="0"/>
        <w:adjustRightInd w:val="0"/>
        <w:spacing w:before="0" w:after="120" w:afterLines="50" w:line="530" w:lineRule="exact"/>
        <w:ind w:firstLine="560" w:firstLineChars="200"/>
        <w:rPr>
          <w:b w:val="0"/>
          <w:bCs w:val="0"/>
        </w:rPr>
      </w:pPr>
      <w:r>
        <w:rPr>
          <w:rFonts w:hint="eastAsia"/>
          <w:b w:val="0"/>
          <w:bCs w:val="0"/>
        </w:rPr>
        <w:t>二、合同标的及金额</w:t>
      </w:r>
    </w:p>
    <w:tbl>
      <w:tblPr>
        <w:tblStyle w:val="12"/>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2"/>
        <w:gridCol w:w="1500"/>
        <w:gridCol w:w="2913"/>
        <w:gridCol w:w="775"/>
        <w:gridCol w:w="775"/>
        <w:gridCol w:w="1049"/>
        <w:gridCol w:w="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rFonts w:ascii="仿宋" w:hAnsi="仿宋" w:eastAsia="仿宋"/>
                <w:bCs/>
                <w:spacing w:val="-4"/>
                <w:sz w:val="21"/>
                <w:szCs w:val="21"/>
              </w:rPr>
            </w:pPr>
            <w:r>
              <w:rPr>
                <w:rFonts w:hint="eastAsia" w:ascii="仿宋" w:hAnsi="仿宋" w:eastAsia="仿宋_GB2312"/>
                <w:bCs/>
                <w:spacing w:val="-4"/>
                <w:sz w:val="21"/>
                <w:szCs w:val="21"/>
              </w:rPr>
              <w:t>序号</w:t>
            </w:r>
          </w:p>
        </w:tc>
        <w:tc>
          <w:tcPr>
            <w:tcW w:w="1500"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rFonts w:ascii="仿宋" w:hAnsi="仿宋" w:eastAsia="仿宋"/>
                <w:bCs/>
                <w:spacing w:val="-4"/>
                <w:sz w:val="21"/>
                <w:szCs w:val="21"/>
              </w:rPr>
            </w:pPr>
            <w:r>
              <w:rPr>
                <w:rFonts w:hint="eastAsia" w:ascii="仿宋" w:hAnsi="仿宋" w:eastAsia="仿宋_GB2312"/>
                <w:bCs/>
                <w:spacing w:val="-4"/>
                <w:sz w:val="21"/>
                <w:szCs w:val="21"/>
              </w:rPr>
              <w:t>服务名称</w:t>
            </w:r>
          </w:p>
        </w:tc>
        <w:tc>
          <w:tcPr>
            <w:tcW w:w="2913"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rFonts w:ascii="仿宋" w:hAnsi="仿宋" w:eastAsia="仿宋"/>
                <w:bCs/>
                <w:spacing w:val="-4"/>
                <w:sz w:val="21"/>
                <w:szCs w:val="21"/>
              </w:rPr>
            </w:pPr>
            <w:r>
              <w:rPr>
                <w:rFonts w:hint="eastAsia" w:ascii="仿宋" w:hAnsi="仿宋" w:eastAsia="仿宋_GB2312"/>
                <w:bCs/>
                <w:spacing w:val="-4"/>
                <w:sz w:val="21"/>
                <w:szCs w:val="21"/>
              </w:rPr>
              <w:t>质量技术标准</w:t>
            </w:r>
          </w:p>
        </w:tc>
        <w:tc>
          <w:tcPr>
            <w:tcW w:w="775"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rFonts w:ascii="仿宋" w:hAnsi="仿宋" w:eastAsia="仿宋_GB2312"/>
                <w:bCs/>
                <w:spacing w:val="-4"/>
                <w:sz w:val="21"/>
                <w:szCs w:val="21"/>
              </w:rPr>
            </w:pPr>
            <w:r>
              <w:rPr>
                <w:rFonts w:hint="eastAsia" w:ascii="仿宋" w:hAnsi="仿宋" w:eastAsia="仿宋_GB2312"/>
                <w:bCs/>
                <w:spacing w:val="-4"/>
                <w:sz w:val="21"/>
                <w:szCs w:val="21"/>
              </w:rPr>
              <w:t>计量</w:t>
            </w:r>
          </w:p>
          <w:p>
            <w:pPr>
              <w:adjustRightInd w:val="0"/>
              <w:spacing w:line="300" w:lineRule="exact"/>
              <w:jc w:val="center"/>
              <w:rPr>
                <w:rFonts w:ascii="仿宋" w:hAnsi="仿宋" w:eastAsia="仿宋"/>
                <w:bCs/>
                <w:spacing w:val="-4"/>
                <w:sz w:val="21"/>
                <w:szCs w:val="21"/>
              </w:rPr>
            </w:pPr>
            <w:r>
              <w:rPr>
                <w:rFonts w:hint="eastAsia" w:ascii="仿宋" w:hAnsi="仿宋" w:eastAsia="仿宋_GB2312"/>
                <w:bCs/>
                <w:spacing w:val="-4"/>
                <w:sz w:val="21"/>
                <w:szCs w:val="21"/>
              </w:rPr>
              <w:t>单位</w:t>
            </w:r>
          </w:p>
        </w:tc>
        <w:tc>
          <w:tcPr>
            <w:tcW w:w="775"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rFonts w:ascii="仿宋" w:hAnsi="仿宋" w:eastAsia="仿宋"/>
                <w:bCs/>
                <w:spacing w:val="-4"/>
                <w:sz w:val="21"/>
                <w:szCs w:val="21"/>
              </w:rPr>
            </w:pPr>
            <w:r>
              <w:rPr>
                <w:rFonts w:hint="eastAsia" w:ascii="仿宋" w:hAnsi="仿宋" w:eastAsia="仿宋_GB2312"/>
                <w:bCs/>
                <w:spacing w:val="-4"/>
                <w:sz w:val="21"/>
                <w:szCs w:val="21"/>
              </w:rPr>
              <w:t>数量</w:t>
            </w:r>
          </w:p>
        </w:tc>
        <w:tc>
          <w:tcPr>
            <w:tcW w:w="1049"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rFonts w:ascii="仿宋" w:hAnsi="仿宋" w:eastAsia="仿宋_GB2312"/>
                <w:bCs/>
                <w:spacing w:val="-4"/>
                <w:sz w:val="21"/>
                <w:szCs w:val="21"/>
              </w:rPr>
            </w:pPr>
            <w:r>
              <w:rPr>
                <w:rFonts w:hint="eastAsia" w:ascii="仿宋" w:hAnsi="仿宋" w:eastAsia="仿宋_GB2312"/>
                <w:bCs/>
                <w:spacing w:val="-4"/>
                <w:sz w:val="21"/>
                <w:szCs w:val="21"/>
              </w:rPr>
              <w:t>总价</w:t>
            </w:r>
          </w:p>
          <w:p>
            <w:pPr>
              <w:adjustRightInd w:val="0"/>
              <w:spacing w:line="300" w:lineRule="exact"/>
              <w:jc w:val="center"/>
              <w:rPr>
                <w:rFonts w:ascii="仿宋" w:hAnsi="仿宋" w:eastAsia="仿宋"/>
                <w:bCs/>
                <w:spacing w:val="-4"/>
                <w:sz w:val="21"/>
                <w:szCs w:val="21"/>
              </w:rPr>
            </w:pPr>
            <w:r>
              <w:rPr>
                <w:rFonts w:hint="eastAsia" w:ascii="仿宋" w:hAnsi="仿宋" w:eastAsia="仿宋_GB2312"/>
                <w:bCs/>
                <w:spacing w:val="-4"/>
                <w:sz w:val="21"/>
                <w:szCs w:val="21"/>
              </w:rPr>
              <w:t>（元）</w:t>
            </w:r>
          </w:p>
        </w:tc>
        <w:tc>
          <w:tcPr>
            <w:tcW w:w="956"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rFonts w:ascii="仿宋" w:hAnsi="仿宋" w:eastAsia="仿宋"/>
                <w:bCs/>
                <w:spacing w:val="-4"/>
                <w:sz w:val="21"/>
                <w:szCs w:val="21"/>
              </w:rPr>
            </w:pPr>
            <w:r>
              <w:rPr>
                <w:rFonts w:hint="eastAsia" w:ascii="仿宋" w:hAnsi="仿宋" w:eastAsia="仿宋_GB2312"/>
                <w:bCs/>
                <w:spacing w:val="-4"/>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rFonts w:ascii="仿宋" w:hAnsi="仿宋" w:eastAsia="仿宋"/>
                <w:bCs/>
                <w:spacing w:val="-4"/>
                <w:sz w:val="21"/>
                <w:szCs w:val="21"/>
              </w:rPr>
            </w:pPr>
            <w:r>
              <w:rPr>
                <w:rFonts w:hint="eastAsia" w:ascii="仿宋" w:hAnsi="仿宋" w:eastAsia="仿宋_GB2312"/>
                <w:bCs/>
                <w:spacing w:val="-4"/>
                <w:sz w:val="21"/>
                <w:szCs w:val="21"/>
              </w:rPr>
              <w:t>1</w:t>
            </w:r>
          </w:p>
        </w:tc>
        <w:tc>
          <w:tcPr>
            <w:tcW w:w="1500"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rFonts w:ascii="仿宋" w:hAnsi="仿宋" w:eastAsia="仿宋"/>
                <w:bCs/>
                <w:spacing w:val="-4"/>
                <w:sz w:val="21"/>
                <w:szCs w:val="21"/>
              </w:rPr>
            </w:pPr>
          </w:p>
        </w:tc>
        <w:tc>
          <w:tcPr>
            <w:tcW w:w="2913"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rFonts w:ascii="仿宋" w:hAnsi="仿宋" w:eastAsia="仿宋"/>
                <w:bCs/>
                <w:iCs/>
                <w:spacing w:val="-4"/>
                <w:sz w:val="21"/>
                <w:szCs w:val="21"/>
              </w:rPr>
            </w:pPr>
          </w:p>
        </w:tc>
        <w:tc>
          <w:tcPr>
            <w:tcW w:w="775"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rFonts w:ascii="仿宋" w:hAnsi="仿宋" w:eastAsia="仿宋"/>
                <w:bCs/>
                <w:spacing w:val="-4"/>
                <w:sz w:val="21"/>
                <w:szCs w:val="21"/>
              </w:rPr>
            </w:pPr>
          </w:p>
        </w:tc>
        <w:tc>
          <w:tcPr>
            <w:tcW w:w="775"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rFonts w:ascii="仿宋" w:hAnsi="仿宋" w:eastAsia="仿宋"/>
                <w:bCs/>
                <w:spacing w:val="-4"/>
                <w:sz w:val="21"/>
                <w:szCs w:val="21"/>
              </w:rPr>
            </w:pPr>
          </w:p>
        </w:tc>
        <w:tc>
          <w:tcPr>
            <w:tcW w:w="1049"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rFonts w:ascii="仿宋" w:hAnsi="仿宋" w:eastAsia="仿宋"/>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rFonts w:ascii="仿宋" w:hAnsi="仿宋" w:eastAsia="仿宋"/>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rFonts w:ascii="仿宋" w:hAnsi="仿宋" w:eastAsia="仿宋"/>
                <w:bCs/>
                <w:spacing w:val="-4"/>
                <w:sz w:val="21"/>
                <w:szCs w:val="21"/>
              </w:rPr>
            </w:pPr>
            <w:r>
              <w:rPr>
                <w:rFonts w:hint="eastAsia" w:ascii="仿宋" w:hAnsi="仿宋" w:eastAsia="仿宋_GB2312"/>
                <w:bCs/>
                <w:spacing w:val="-4"/>
                <w:sz w:val="21"/>
                <w:szCs w:val="21"/>
              </w:rPr>
              <w:t>…</w:t>
            </w:r>
          </w:p>
        </w:tc>
        <w:tc>
          <w:tcPr>
            <w:tcW w:w="1500"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rFonts w:ascii="仿宋" w:hAnsi="仿宋" w:eastAsia="仿宋"/>
                <w:bCs/>
                <w:spacing w:val="-4"/>
                <w:sz w:val="21"/>
                <w:szCs w:val="21"/>
              </w:rPr>
            </w:pPr>
          </w:p>
        </w:tc>
        <w:tc>
          <w:tcPr>
            <w:tcW w:w="2913"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rFonts w:ascii="仿宋" w:hAnsi="仿宋" w:eastAsia="仿宋"/>
                <w:bCs/>
                <w:iCs/>
                <w:spacing w:val="-4"/>
                <w:sz w:val="21"/>
                <w:szCs w:val="21"/>
              </w:rPr>
            </w:pPr>
          </w:p>
        </w:tc>
        <w:tc>
          <w:tcPr>
            <w:tcW w:w="775"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rFonts w:ascii="仿宋" w:hAnsi="仿宋" w:eastAsia="仿宋"/>
                <w:bCs/>
                <w:spacing w:val="-4"/>
                <w:sz w:val="21"/>
                <w:szCs w:val="21"/>
              </w:rPr>
            </w:pPr>
          </w:p>
        </w:tc>
        <w:tc>
          <w:tcPr>
            <w:tcW w:w="775"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rFonts w:ascii="仿宋" w:hAnsi="仿宋" w:eastAsia="仿宋"/>
                <w:bCs/>
                <w:spacing w:val="-4"/>
                <w:sz w:val="21"/>
                <w:szCs w:val="21"/>
              </w:rPr>
            </w:pPr>
          </w:p>
        </w:tc>
        <w:tc>
          <w:tcPr>
            <w:tcW w:w="1049"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rFonts w:ascii="仿宋" w:hAnsi="仿宋" w:eastAsia="仿宋"/>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rFonts w:ascii="仿宋" w:hAnsi="仿宋" w:eastAsia="仿宋"/>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132" w:type="dxa"/>
            <w:gridSpan w:val="2"/>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rFonts w:ascii="仿宋" w:hAnsi="仿宋" w:eastAsia="仿宋"/>
                <w:bCs/>
                <w:spacing w:val="-4"/>
                <w:sz w:val="21"/>
                <w:szCs w:val="21"/>
              </w:rPr>
            </w:pPr>
            <w:r>
              <w:rPr>
                <w:rFonts w:hint="eastAsia" w:ascii="仿宋" w:hAnsi="仿宋" w:eastAsia="仿宋_GB2312"/>
                <w:bCs/>
                <w:spacing w:val="-4"/>
                <w:sz w:val="21"/>
                <w:szCs w:val="21"/>
              </w:rPr>
              <w:t>合  计</w:t>
            </w:r>
          </w:p>
        </w:tc>
        <w:tc>
          <w:tcPr>
            <w:tcW w:w="2913"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rFonts w:ascii="仿宋" w:hAnsi="仿宋" w:eastAsia="仿宋"/>
                <w:bCs/>
                <w:spacing w:val="-4"/>
                <w:sz w:val="21"/>
                <w:szCs w:val="21"/>
              </w:rPr>
            </w:pPr>
          </w:p>
        </w:tc>
        <w:tc>
          <w:tcPr>
            <w:tcW w:w="775"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rFonts w:ascii="仿宋" w:hAnsi="仿宋" w:eastAsia="仿宋"/>
                <w:bCs/>
                <w:spacing w:val="-4"/>
                <w:sz w:val="21"/>
                <w:szCs w:val="21"/>
              </w:rPr>
            </w:pPr>
          </w:p>
        </w:tc>
        <w:tc>
          <w:tcPr>
            <w:tcW w:w="775"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rFonts w:ascii="仿宋" w:hAnsi="仿宋" w:eastAsia="仿宋"/>
                <w:bCs/>
                <w:spacing w:val="-4"/>
                <w:sz w:val="21"/>
                <w:szCs w:val="21"/>
              </w:rPr>
            </w:pPr>
          </w:p>
        </w:tc>
        <w:tc>
          <w:tcPr>
            <w:tcW w:w="1049"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rFonts w:ascii="仿宋" w:hAnsi="仿宋" w:eastAsia="仿宋"/>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rFonts w:ascii="仿宋" w:hAnsi="仿宋" w:eastAsia="仿宋"/>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600" w:type="dxa"/>
            <w:gridSpan w:val="7"/>
            <w:tcBorders>
              <w:top w:val="single" w:color="auto" w:sz="4" w:space="0"/>
              <w:left w:val="single" w:color="auto" w:sz="4" w:space="0"/>
              <w:bottom w:val="single" w:color="auto" w:sz="4" w:space="0"/>
              <w:right w:val="single" w:color="auto" w:sz="4" w:space="0"/>
            </w:tcBorders>
            <w:vAlign w:val="center"/>
          </w:tcPr>
          <w:p>
            <w:pPr>
              <w:adjustRightInd w:val="0"/>
              <w:spacing w:line="300" w:lineRule="exact"/>
              <w:rPr>
                <w:rFonts w:ascii="仿宋" w:hAnsi="仿宋" w:eastAsia="仿宋"/>
                <w:bCs/>
                <w:spacing w:val="-4"/>
                <w:sz w:val="21"/>
                <w:szCs w:val="21"/>
              </w:rPr>
            </w:pPr>
            <w:r>
              <w:rPr>
                <w:rFonts w:hint="eastAsia" w:ascii="仿宋" w:hAnsi="仿宋" w:eastAsia="仿宋_GB2312"/>
                <w:bCs/>
                <w:spacing w:val="-4"/>
                <w:sz w:val="21"/>
                <w:szCs w:val="21"/>
              </w:rPr>
              <w:t>金额合计（人民币大写）：</w:t>
            </w:r>
            <w:r>
              <w:rPr>
                <w:rFonts w:hint="eastAsia" w:ascii="仿宋" w:hAnsi="仿宋" w:eastAsia="仿宋_GB2312"/>
                <w:bCs/>
                <w:sz w:val="21"/>
                <w:szCs w:val="21"/>
                <w:u w:val="single"/>
              </w:rPr>
              <w:t xml:space="preserve">                            </w:t>
            </w:r>
            <w:r>
              <w:rPr>
                <w:rFonts w:hint="eastAsia" w:ascii="仿宋" w:hAnsi="仿宋" w:eastAsia="仿宋_GB2312"/>
                <w:bCs/>
                <w:spacing w:val="-4"/>
                <w:sz w:val="21"/>
                <w:szCs w:val="21"/>
              </w:rPr>
              <w:t>元</w:t>
            </w:r>
            <w:r>
              <w:rPr>
                <w:rFonts w:hint="eastAsia" w:ascii="仿宋" w:hAnsi="仿宋" w:eastAsia="仿宋_GB2312"/>
                <w:bCs/>
                <w:sz w:val="21"/>
                <w:szCs w:val="21"/>
              </w:rPr>
              <w:t xml:space="preserve">      （小写）：</w:t>
            </w:r>
            <w:r>
              <w:rPr>
                <w:rFonts w:hint="eastAsia" w:ascii="宋体" w:hAnsi="宋体" w:eastAsia="宋体" w:cs="宋体"/>
                <w:bCs/>
                <w:sz w:val="21"/>
                <w:szCs w:val="21"/>
              </w:rPr>
              <w:t>¥</w:t>
            </w:r>
            <w:r>
              <w:rPr>
                <w:rFonts w:hint="eastAsia" w:ascii="仿宋" w:hAnsi="仿宋" w:eastAsia="仿宋_GB2312" w:cs="宋体"/>
                <w:bCs/>
                <w:sz w:val="21"/>
                <w:szCs w:val="21"/>
                <w:u w:val="single"/>
              </w:rPr>
              <w:t xml:space="preserve"> </w:t>
            </w:r>
            <w:r>
              <w:rPr>
                <w:rFonts w:hint="eastAsia" w:ascii="仿宋" w:hAnsi="仿宋" w:eastAsia="仿宋_GB2312"/>
                <w:bCs/>
                <w:sz w:val="21"/>
                <w:szCs w:val="21"/>
                <w:u w:val="single"/>
              </w:rPr>
              <w:t xml:space="preserve">             </w:t>
            </w:r>
          </w:p>
        </w:tc>
      </w:tr>
    </w:tbl>
    <w:p>
      <w:pPr>
        <w:pStyle w:val="2"/>
        <w:adjustRightInd w:val="0"/>
        <w:spacing w:before="120" w:beforeLines="50" w:afterLines="50" w:line="530" w:lineRule="exact"/>
        <w:ind w:firstLine="560" w:firstLineChars="200"/>
        <w:rPr>
          <w:rFonts w:ascii="仿宋" w:hAnsi="仿宋" w:eastAsia="仿宋"/>
          <w:sz w:val="28"/>
          <w:szCs w:val="28"/>
        </w:rPr>
      </w:pPr>
      <w:r>
        <w:rPr>
          <w:rFonts w:hint="eastAsia" w:ascii="仿宋" w:hAnsi="仿宋" w:eastAsia="仿宋_GB2312"/>
          <w:sz w:val="28"/>
          <w:szCs w:val="28"/>
        </w:rPr>
        <w:t>租赁车型一览表</w:t>
      </w:r>
    </w:p>
    <w:tbl>
      <w:tblPr>
        <w:tblStyle w:val="13"/>
        <w:tblW w:w="85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1320"/>
        <w:gridCol w:w="2757"/>
        <w:gridCol w:w="1330"/>
        <w:gridCol w:w="2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9" w:type="dxa"/>
            <w:vAlign w:val="center"/>
          </w:tcPr>
          <w:p>
            <w:pPr>
              <w:adjustRightInd w:val="0"/>
              <w:snapToGrid w:val="0"/>
              <w:spacing w:line="34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序号</w:t>
            </w:r>
          </w:p>
        </w:tc>
        <w:tc>
          <w:tcPr>
            <w:tcW w:w="1320" w:type="dxa"/>
            <w:vAlign w:val="center"/>
          </w:tcPr>
          <w:p>
            <w:pPr>
              <w:adjustRightInd w:val="0"/>
              <w:snapToGrid w:val="0"/>
              <w:spacing w:line="34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品牌</w:t>
            </w:r>
          </w:p>
        </w:tc>
        <w:tc>
          <w:tcPr>
            <w:tcW w:w="2757" w:type="dxa"/>
            <w:vAlign w:val="center"/>
          </w:tcPr>
          <w:p>
            <w:pPr>
              <w:adjustRightInd w:val="0"/>
              <w:snapToGrid w:val="0"/>
              <w:spacing w:line="34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型号</w:t>
            </w:r>
          </w:p>
        </w:tc>
        <w:tc>
          <w:tcPr>
            <w:tcW w:w="1330" w:type="dxa"/>
            <w:vAlign w:val="center"/>
          </w:tcPr>
          <w:p>
            <w:pPr>
              <w:adjustRightInd w:val="0"/>
              <w:snapToGrid w:val="0"/>
              <w:spacing w:line="34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数量（辆）</w:t>
            </w:r>
          </w:p>
        </w:tc>
        <w:tc>
          <w:tcPr>
            <w:tcW w:w="2243" w:type="dxa"/>
            <w:vAlign w:val="center"/>
          </w:tcPr>
          <w:p>
            <w:pPr>
              <w:adjustRightInd w:val="0"/>
              <w:snapToGrid w:val="0"/>
              <w:spacing w:line="34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司机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9" w:type="dxa"/>
            <w:vAlign w:val="center"/>
          </w:tcPr>
          <w:p>
            <w:pPr>
              <w:adjustRightInd w:val="0"/>
              <w:snapToGrid w:val="0"/>
              <w:spacing w:line="34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1</w:t>
            </w:r>
          </w:p>
        </w:tc>
        <w:tc>
          <w:tcPr>
            <w:tcW w:w="1320" w:type="dxa"/>
            <w:vAlign w:val="center"/>
          </w:tcPr>
          <w:p>
            <w:pPr>
              <w:adjustRightInd w:val="0"/>
              <w:snapToGrid w:val="0"/>
              <w:spacing w:line="340" w:lineRule="exact"/>
              <w:jc w:val="center"/>
              <w:rPr>
                <w:rFonts w:hint="eastAsia" w:ascii="仿宋_GB2312" w:hAnsi="仿宋_GB2312" w:eastAsia="仿宋_GB2312" w:cs="仿宋_GB2312"/>
                <w:bCs/>
                <w:sz w:val="21"/>
                <w:szCs w:val="21"/>
              </w:rPr>
            </w:pPr>
          </w:p>
        </w:tc>
        <w:tc>
          <w:tcPr>
            <w:tcW w:w="2757" w:type="dxa"/>
            <w:vAlign w:val="center"/>
          </w:tcPr>
          <w:p>
            <w:pPr>
              <w:adjustRightInd w:val="0"/>
              <w:snapToGrid w:val="0"/>
              <w:spacing w:line="340" w:lineRule="exact"/>
              <w:jc w:val="center"/>
              <w:rPr>
                <w:rFonts w:hint="eastAsia" w:ascii="仿宋_GB2312" w:hAnsi="仿宋_GB2312" w:eastAsia="仿宋_GB2312" w:cs="仿宋_GB2312"/>
                <w:bCs/>
                <w:sz w:val="21"/>
                <w:szCs w:val="21"/>
              </w:rPr>
            </w:pPr>
          </w:p>
        </w:tc>
        <w:tc>
          <w:tcPr>
            <w:tcW w:w="1330" w:type="dxa"/>
            <w:vAlign w:val="center"/>
          </w:tcPr>
          <w:p>
            <w:pPr>
              <w:adjustRightInd w:val="0"/>
              <w:snapToGrid w:val="0"/>
              <w:spacing w:line="340" w:lineRule="exact"/>
              <w:jc w:val="center"/>
              <w:rPr>
                <w:rFonts w:hint="eastAsia" w:ascii="仿宋_GB2312" w:hAnsi="仿宋_GB2312" w:eastAsia="仿宋_GB2312" w:cs="仿宋_GB2312"/>
                <w:bCs/>
                <w:sz w:val="21"/>
                <w:szCs w:val="21"/>
              </w:rPr>
            </w:pPr>
          </w:p>
        </w:tc>
        <w:tc>
          <w:tcPr>
            <w:tcW w:w="2243" w:type="dxa"/>
          </w:tcPr>
          <w:p>
            <w:pPr>
              <w:adjustRightInd w:val="0"/>
              <w:snapToGrid w:val="0"/>
              <w:spacing w:line="340" w:lineRule="exact"/>
              <w:jc w:val="center"/>
              <w:rPr>
                <w:rFonts w:hint="eastAsia" w:ascii="仿宋_GB2312" w:hAnsi="仿宋_GB2312" w:eastAsia="仿宋_GB2312" w:cs="仿宋_GB2312"/>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9" w:type="dxa"/>
            <w:vAlign w:val="center"/>
          </w:tcPr>
          <w:p>
            <w:pPr>
              <w:adjustRightInd w:val="0"/>
              <w:snapToGrid w:val="0"/>
              <w:spacing w:line="34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2</w:t>
            </w:r>
          </w:p>
        </w:tc>
        <w:tc>
          <w:tcPr>
            <w:tcW w:w="1320" w:type="dxa"/>
            <w:vAlign w:val="center"/>
          </w:tcPr>
          <w:p>
            <w:pPr>
              <w:adjustRightInd w:val="0"/>
              <w:snapToGrid w:val="0"/>
              <w:spacing w:line="340" w:lineRule="exact"/>
              <w:jc w:val="center"/>
              <w:rPr>
                <w:rFonts w:hint="eastAsia" w:ascii="仿宋_GB2312" w:hAnsi="仿宋_GB2312" w:eastAsia="仿宋_GB2312" w:cs="仿宋_GB2312"/>
                <w:bCs/>
                <w:sz w:val="21"/>
                <w:szCs w:val="21"/>
              </w:rPr>
            </w:pPr>
          </w:p>
        </w:tc>
        <w:tc>
          <w:tcPr>
            <w:tcW w:w="2757" w:type="dxa"/>
            <w:vAlign w:val="center"/>
          </w:tcPr>
          <w:p>
            <w:pPr>
              <w:adjustRightInd w:val="0"/>
              <w:snapToGrid w:val="0"/>
              <w:spacing w:line="340" w:lineRule="exact"/>
              <w:jc w:val="center"/>
              <w:rPr>
                <w:rFonts w:hint="eastAsia" w:ascii="仿宋_GB2312" w:hAnsi="仿宋_GB2312" w:eastAsia="仿宋_GB2312" w:cs="仿宋_GB2312"/>
                <w:bCs/>
                <w:sz w:val="21"/>
                <w:szCs w:val="21"/>
              </w:rPr>
            </w:pPr>
          </w:p>
        </w:tc>
        <w:tc>
          <w:tcPr>
            <w:tcW w:w="1330" w:type="dxa"/>
            <w:vAlign w:val="center"/>
          </w:tcPr>
          <w:p>
            <w:pPr>
              <w:adjustRightInd w:val="0"/>
              <w:snapToGrid w:val="0"/>
              <w:spacing w:line="340" w:lineRule="exact"/>
              <w:jc w:val="center"/>
              <w:rPr>
                <w:rFonts w:hint="eastAsia" w:ascii="仿宋_GB2312" w:hAnsi="仿宋_GB2312" w:eastAsia="仿宋_GB2312" w:cs="仿宋_GB2312"/>
                <w:bCs/>
                <w:sz w:val="21"/>
                <w:szCs w:val="21"/>
              </w:rPr>
            </w:pPr>
          </w:p>
        </w:tc>
        <w:tc>
          <w:tcPr>
            <w:tcW w:w="2243" w:type="dxa"/>
          </w:tcPr>
          <w:p>
            <w:pPr>
              <w:adjustRightInd w:val="0"/>
              <w:snapToGrid w:val="0"/>
              <w:spacing w:line="340" w:lineRule="exact"/>
              <w:jc w:val="center"/>
              <w:rPr>
                <w:rFonts w:hint="eastAsia" w:ascii="仿宋_GB2312" w:hAnsi="仿宋_GB2312" w:eastAsia="仿宋_GB2312" w:cs="仿宋_GB2312"/>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9" w:type="dxa"/>
            <w:vAlign w:val="center"/>
          </w:tcPr>
          <w:p>
            <w:pPr>
              <w:adjustRightInd w:val="0"/>
              <w:snapToGrid w:val="0"/>
              <w:spacing w:line="34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3</w:t>
            </w:r>
          </w:p>
        </w:tc>
        <w:tc>
          <w:tcPr>
            <w:tcW w:w="1320" w:type="dxa"/>
            <w:vAlign w:val="center"/>
          </w:tcPr>
          <w:p>
            <w:pPr>
              <w:adjustRightInd w:val="0"/>
              <w:snapToGrid w:val="0"/>
              <w:spacing w:line="340" w:lineRule="exact"/>
              <w:jc w:val="center"/>
              <w:rPr>
                <w:rFonts w:hint="eastAsia" w:ascii="仿宋_GB2312" w:hAnsi="仿宋_GB2312" w:eastAsia="仿宋_GB2312" w:cs="仿宋_GB2312"/>
                <w:bCs/>
                <w:sz w:val="21"/>
                <w:szCs w:val="21"/>
              </w:rPr>
            </w:pPr>
          </w:p>
        </w:tc>
        <w:tc>
          <w:tcPr>
            <w:tcW w:w="2757" w:type="dxa"/>
            <w:vAlign w:val="center"/>
          </w:tcPr>
          <w:p>
            <w:pPr>
              <w:adjustRightInd w:val="0"/>
              <w:snapToGrid w:val="0"/>
              <w:spacing w:line="340" w:lineRule="exact"/>
              <w:jc w:val="center"/>
              <w:rPr>
                <w:rFonts w:hint="eastAsia" w:ascii="仿宋_GB2312" w:hAnsi="仿宋_GB2312" w:eastAsia="仿宋_GB2312" w:cs="仿宋_GB2312"/>
                <w:bCs/>
                <w:sz w:val="21"/>
                <w:szCs w:val="21"/>
              </w:rPr>
            </w:pPr>
          </w:p>
        </w:tc>
        <w:tc>
          <w:tcPr>
            <w:tcW w:w="1330" w:type="dxa"/>
            <w:vAlign w:val="center"/>
          </w:tcPr>
          <w:p>
            <w:pPr>
              <w:adjustRightInd w:val="0"/>
              <w:snapToGrid w:val="0"/>
              <w:spacing w:line="340" w:lineRule="exact"/>
              <w:jc w:val="center"/>
              <w:rPr>
                <w:rFonts w:hint="eastAsia" w:ascii="仿宋_GB2312" w:hAnsi="仿宋_GB2312" w:eastAsia="仿宋_GB2312" w:cs="仿宋_GB2312"/>
                <w:bCs/>
                <w:sz w:val="21"/>
                <w:szCs w:val="21"/>
              </w:rPr>
            </w:pPr>
          </w:p>
        </w:tc>
        <w:tc>
          <w:tcPr>
            <w:tcW w:w="2243" w:type="dxa"/>
          </w:tcPr>
          <w:p>
            <w:pPr>
              <w:adjustRightInd w:val="0"/>
              <w:snapToGrid w:val="0"/>
              <w:spacing w:line="340" w:lineRule="exact"/>
              <w:jc w:val="center"/>
              <w:rPr>
                <w:rFonts w:hint="eastAsia" w:ascii="仿宋_GB2312" w:hAnsi="仿宋_GB2312" w:eastAsia="仿宋_GB2312" w:cs="仿宋_GB2312"/>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9" w:type="dxa"/>
            <w:vAlign w:val="center"/>
          </w:tcPr>
          <w:p>
            <w:pPr>
              <w:adjustRightInd w:val="0"/>
              <w:snapToGrid w:val="0"/>
              <w:spacing w:line="34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w:t>
            </w:r>
          </w:p>
        </w:tc>
        <w:tc>
          <w:tcPr>
            <w:tcW w:w="1320" w:type="dxa"/>
            <w:vAlign w:val="center"/>
          </w:tcPr>
          <w:p>
            <w:pPr>
              <w:adjustRightInd w:val="0"/>
              <w:snapToGrid w:val="0"/>
              <w:spacing w:line="340" w:lineRule="exact"/>
              <w:jc w:val="center"/>
              <w:rPr>
                <w:rFonts w:hint="eastAsia" w:ascii="仿宋_GB2312" w:hAnsi="仿宋_GB2312" w:eastAsia="仿宋_GB2312" w:cs="仿宋_GB2312"/>
                <w:bCs/>
                <w:sz w:val="21"/>
                <w:szCs w:val="21"/>
              </w:rPr>
            </w:pPr>
          </w:p>
        </w:tc>
        <w:tc>
          <w:tcPr>
            <w:tcW w:w="2757" w:type="dxa"/>
            <w:vAlign w:val="center"/>
          </w:tcPr>
          <w:p>
            <w:pPr>
              <w:adjustRightInd w:val="0"/>
              <w:snapToGrid w:val="0"/>
              <w:spacing w:line="340" w:lineRule="exact"/>
              <w:jc w:val="center"/>
              <w:rPr>
                <w:rFonts w:hint="eastAsia" w:ascii="仿宋_GB2312" w:hAnsi="仿宋_GB2312" w:eastAsia="仿宋_GB2312" w:cs="仿宋_GB2312"/>
                <w:bCs/>
                <w:sz w:val="21"/>
                <w:szCs w:val="21"/>
              </w:rPr>
            </w:pPr>
          </w:p>
        </w:tc>
        <w:tc>
          <w:tcPr>
            <w:tcW w:w="1330" w:type="dxa"/>
            <w:vAlign w:val="center"/>
          </w:tcPr>
          <w:p>
            <w:pPr>
              <w:adjustRightInd w:val="0"/>
              <w:snapToGrid w:val="0"/>
              <w:spacing w:line="340" w:lineRule="exact"/>
              <w:jc w:val="center"/>
              <w:rPr>
                <w:rFonts w:hint="eastAsia" w:ascii="仿宋_GB2312" w:hAnsi="仿宋_GB2312" w:eastAsia="仿宋_GB2312" w:cs="仿宋_GB2312"/>
                <w:bCs/>
                <w:sz w:val="21"/>
                <w:szCs w:val="21"/>
              </w:rPr>
            </w:pPr>
          </w:p>
        </w:tc>
        <w:tc>
          <w:tcPr>
            <w:tcW w:w="2243" w:type="dxa"/>
          </w:tcPr>
          <w:p>
            <w:pPr>
              <w:adjustRightInd w:val="0"/>
              <w:snapToGrid w:val="0"/>
              <w:spacing w:line="340" w:lineRule="exact"/>
              <w:jc w:val="center"/>
              <w:rPr>
                <w:rFonts w:hint="eastAsia" w:ascii="仿宋_GB2312" w:hAnsi="仿宋_GB2312" w:eastAsia="仿宋_GB2312" w:cs="仿宋_GB2312"/>
                <w:bCs/>
                <w:sz w:val="21"/>
                <w:szCs w:val="21"/>
              </w:rPr>
            </w:pPr>
          </w:p>
        </w:tc>
      </w:tr>
    </w:tbl>
    <w:p>
      <w:pPr>
        <w:pStyle w:val="2"/>
        <w:adjustRightInd w:val="0"/>
        <w:spacing w:before="120" w:beforeLines="50" w:after="0" w:line="530" w:lineRule="exact"/>
        <w:ind w:firstLine="560" w:firstLineChars="200"/>
        <w:rPr>
          <w:rFonts w:ascii="仿宋" w:hAnsi="仿宋" w:eastAsia="仿宋_GB2312"/>
          <w:sz w:val="28"/>
          <w:szCs w:val="28"/>
        </w:rPr>
      </w:pPr>
      <w:r>
        <w:rPr>
          <w:rFonts w:hint="eastAsia" w:ascii="仿宋" w:hAnsi="仿宋" w:eastAsia="仿宋_GB2312"/>
          <w:sz w:val="28"/>
          <w:szCs w:val="28"/>
        </w:rPr>
        <w:t>备注：车辆使用性质为“租赁”符合</w:t>
      </w:r>
      <w:r>
        <w:rPr>
          <w:rFonts w:ascii="仿宋" w:hAnsi="仿宋" w:eastAsia="仿宋_GB2312"/>
          <w:sz w:val="28"/>
          <w:szCs w:val="28"/>
          <w:u w:val="single"/>
        </w:rPr>
        <w:t xml:space="preserve">    </w:t>
      </w:r>
      <w:r>
        <w:rPr>
          <w:rFonts w:ascii="仿宋" w:hAnsi="仿宋" w:eastAsia="仿宋_GB2312"/>
          <w:sz w:val="28"/>
          <w:szCs w:val="28"/>
        </w:rPr>
        <w:t>等交通运输管理规定的有关要求</w:t>
      </w:r>
      <w:r>
        <w:rPr>
          <w:rFonts w:hint="eastAsia" w:ascii="仿宋" w:hAnsi="仿宋" w:eastAsia="仿宋_GB2312"/>
          <w:sz w:val="28"/>
          <w:szCs w:val="28"/>
        </w:rPr>
        <w:t>。</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三、合同履行的时间、地点及方式</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cs="宋体"/>
          <w:bCs/>
          <w:sz w:val="28"/>
          <w:szCs w:val="28"/>
        </w:rPr>
        <w:t>（一）</w:t>
      </w:r>
      <w:r>
        <w:rPr>
          <w:rFonts w:hint="eastAsia" w:ascii="仿宋" w:hAnsi="仿宋" w:eastAsia="仿宋_GB2312"/>
          <w:bCs/>
          <w:sz w:val="28"/>
          <w:szCs w:val="28"/>
        </w:rPr>
        <w:t>服务实施的期限：</w:t>
      </w:r>
      <w:r>
        <w:rPr>
          <w:rFonts w:hint="eastAsia" w:ascii="仿宋" w:hAnsi="仿宋" w:eastAsia="仿宋_GB2312"/>
          <w:bCs/>
          <w:sz w:val="28"/>
          <w:szCs w:val="28"/>
          <w:u w:val="single"/>
        </w:rPr>
        <w:t xml:space="preserve">    </w:t>
      </w:r>
      <w:r>
        <w:rPr>
          <w:rFonts w:hint="eastAsia" w:ascii="仿宋" w:hAnsi="仿宋" w:eastAsia="仿宋_GB2312"/>
          <w:bCs/>
          <w:sz w:val="28"/>
          <w:szCs w:val="28"/>
        </w:rPr>
        <w:t>年</w:t>
      </w:r>
      <w:r>
        <w:rPr>
          <w:rFonts w:hint="eastAsia" w:ascii="仿宋" w:hAnsi="仿宋" w:eastAsia="仿宋_GB2312"/>
          <w:bCs/>
          <w:sz w:val="28"/>
          <w:szCs w:val="28"/>
          <w:u w:val="single"/>
        </w:rPr>
        <w:t xml:space="preserve">  </w:t>
      </w:r>
      <w:r>
        <w:rPr>
          <w:rFonts w:hint="eastAsia" w:ascii="仿宋" w:hAnsi="仿宋" w:eastAsia="仿宋_GB2312"/>
          <w:bCs/>
          <w:sz w:val="28"/>
          <w:szCs w:val="28"/>
        </w:rPr>
        <w:t>月</w:t>
      </w:r>
      <w:r>
        <w:rPr>
          <w:rFonts w:hint="eastAsia" w:ascii="仿宋" w:hAnsi="仿宋" w:eastAsia="仿宋_GB2312"/>
          <w:bCs/>
          <w:sz w:val="28"/>
          <w:szCs w:val="28"/>
          <w:u w:val="single"/>
        </w:rPr>
        <w:t xml:space="preserve">  </w:t>
      </w:r>
      <w:r>
        <w:rPr>
          <w:rFonts w:hint="eastAsia" w:ascii="仿宋" w:hAnsi="仿宋" w:eastAsia="仿宋_GB2312"/>
          <w:bCs/>
          <w:sz w:val="28"/>
          <w:szCs w:val="28"/>
        </w:rPr>
        <w:t>日至</w:t>
      </w:r>
      <w:r>
        <w:rPr>
          <w:rFonts w:hint="eastAsia" w:ascii="仿宋" w:hAnsi="仿宋" w:eastAsia="仿宋_GB2312"/>
          <w:bCs/>
          <w:sz w:val="28"/>
          <w:szCs w:val="28"/>
          <w:u w:val="single"/>
        </w:rPr>
        <w:t xml:space="preserve">    </w:t>
      </w:r>
      <w:r>
        <w:rPr>
          <w:rFonts w:hint="eastAsia" w:ascii="仿宋" w:hAnsi="仿宋" w:eastAsia="仿宋_GB2312"/>
          <w:bCs/>
          <w:sz w:val="28"/>
          <w:szCs w:val="28"/>
        </w:rPr>
        <w:t>年</w:t>
      </w:r>
      <w:r>
        <w:rPr>
          <w:rFonts w:hint="eastAsia" w:ascii="仿宋" w:hAnsi="仿宋" w:eastAsia="仿宋_GB2312"/>
          <w:bCs/>
          <w:sz w:val="28"/>
          <w:szCs w:val="28"/>
          <w:u w:val="single"/>
        </w:rPr>
        <w:t xml:space="preserve">  </w:t>
      </w:r>
      <w:r>
        <w:rPr>
          <w:rFonts w:hint="eastAsia" w:ascii="仿宋" w:hAnsi="仿宋" w:eastAsia="仿宋_GB2312"/>
          <w:bCs/>
          <w:sz w:val="28"/>
          <w:szCs w:val="28"/>
        </w:rPr>
        <w:t>月</w:t>
      </w:r>
      <w:r>
        <w:rPr>
          <w:rFonts w:hint="eastAsia" w:ascii="仿宋" w:hAnsi="仿宋" w:eastAsia="仿宋_GB2312"/>
          <w:bCs/>
          <w:sz w:val="28"/>
          <w:szCs w:val="28"/>
          <w:u w:val="single"/>
        </w:rPr>
        <w:t xml:space="preserve">  </w:t>
      </w:r>
      <w:r>
        <w:rPr>
          <w:rFonts w:hint="eastAsia" w:ascii="仿宋" w:hAnsi="仿宋" w:eastAsia="仿宋_GB2312"/>
          <w:bCs/>
          <w:sz w:val="28"/>
          <w:szCs w:val="28"/>
        </w:rPr>
        <w:t>日</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cs="宋体"/>
          <w:bCs/>
          <w:sz w:val="28"/>
          <w:szCs w:val="28"/>
        </w:rPr>
        <w:t>（二）</w:t>
      </w:r>
      <w:r>
        <w:rPr>
          <w:rFonts w:hint="eastAsia" w:ascii="仿宋" w:hAnsi="仿宋" w:eastAsia="仿宋_GB2312"/>
          <w:bCs/>
          <w:sz w:val="28"/>
          <w:szCs w:val="28"/>
        </w:rPr>
        <w:t>服务实施的地域范围：</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（三）合同履行的方式：</w:t>
      </w:r>
      <w:r>
        <w:rPr>
          <w:rFonts w:hint="eastAsia" w:ascii="仿宋" w:hAnsi="仿宋" w:eastAsia="仿宋_GB2312" w:cs="宋体"/>
          <w:bCs/>
          <w:sz w:val="28"/>
          <w:szCs w:val="28"/>
          <w:u w:val="single"/>
        </w:rPr>
        <w:t xml:space="preserve">                            </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四、</w:t>
      </w:r>
      <w:bookmarkStart w:id="0" w:name="_Hlk129351178"/>
      <w:r>
        <w:rPr>
          <w:rFonts w:hint="eastAsia" w:ascii="黑体" w:hAnsi="黑体"/>
          <w:b w:val="0"/>
          <w:bCs w:val="0"/>
        </w:rPr>
        <w:t>应用场景</w:t>
      </w:r>
      <w:bookmarkEnd w:id="0"/>
      <w:r>
        <w:rPr>
          <w:rFonts w:hint="eastAsia" w:ascii="黑体" w:hAnsi="黑体"/>
          <w:b w:val="0"/>
          <w:bCs w:val="0"/>
        </w:rPr>
        <w:t>、</w:t>
      </w:r>
      <w:bookmarkStart w:id="1" w:name="_Hlk129351232"/>
      <w:r>
        <w:rPr>
          <w:rFonts w:hint="eastAsia" w:ascii="黑体" w:hAnsi="黑体"/>
          <w:b w:val="0"/>
          <w:bCs w:val="0"/>
        </w:rPr>
        <w:t>服务内容和标准</w:t>
      </w:r>
      <w:bookmarkEnd w:id="1"/>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□（一）合同的应用场景：</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（二）服务实施的内容：</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（三）服务标准：</w:t>
      </w:r>
      <w:r>
        <w:rPr>
          <w:rFonts w:hint="eastAsia" w:ascii="仿宋" w:hAnsi="仿宋" w:eastAsia="仿宋_GB2312"/>
          <w:bCs/>
          <w:sz w:val="28"/>
          <w:szCs w:val="28"/>
          <w:u w:val="single"/>
        </w:rPr>
        <w:t xml:space="preserve">                              </w:t>
      </w:r>
    </w:p>
    <w:p>
      <w:pPr>
        <w:adjustRightInd w:val="0"/>
        <w:spacing w:after="120" w:afterLines="50" w:line="530" w:lineRule="exact"/>
        <w:ind w:firstLine="560" w:firstLineChars="200"/>
        <w:rPr>
          <w:rFonts w:ascii="黑体" w:hAnsi="黑体" w:eastAsia="黑体" w:cs="黑体"/>
          <w:bCs/>
          <w:sz w:val="28"/>
          <w:szCs w:val="28"/>
        </w:rPr>
      </w:pPr>
      <w:r>
        <w:rPr>
          <w:rFonts w:hint="eastAsia" w:ascii="黑体" w:hAnsi="黑体" w:eastAsia="黑体" w:cs="黑体"/>
          <w:bCs/>
          <w:sz w:val="28"/>
          <w:szCs w:val="28"/>
        </w:rPr>
        <w:t>□五、</w:t>
      </w:r>
      <w:bookmarkStart w:id="2" w:name="_Hlk129352073"/>
      <w:r>
        <w:rPr>
          <w:rFonts w:hint="eastAsia" w:ascii="黑体" w:hAnsi="黑体" w:eastAsia="黑体" w:cs="黑体"/>
          <w:bCs/>
          <w:sz w:val="28"/>
          <w:szCs w:val="28"/>
        </w:rPr>
        <w:t>服务实施分期考核内容及标准</w:t>
      </w:r>
      <w:bookmarkEnd w:id="2"/>
    </w:p>
    <w:tbl>
      <w:tblPr>
        <w:tblStyle w:val="13"/>
        <w:tblW w:w="8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2086"/>
        <w:gridCol w:w="2506"/>
        <w:gridCol w:w="2300"/>
        <w:gridCol w:w="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2086"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考核部位或场所</w:t>
            </w:r>
          </w:p>
        </w:tc>
        <w:tc>
          <w:tcPr>
            <w:tcW w:w="2506"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考核内容</w:t>
            </w:r>
          </w:p>
        </w:tc>
        <w:tc>
          <w:tcPr>
            <w:tcW w:w="2300"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考核标准</w:t>
            </w:r>
          </w:p>
        </w:tc>
        <w:tc>
          <w:tcPr>
            <w:tcW w:w="939"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2086"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2506"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2300"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939"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w:t>
            </w:r>
          </w:p>
        </w:tc>
        <w:tc>
          <w:tcPr>
            <w:tcW w:w="2086"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2506"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2300"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939"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bCs/>
                <w:spacing w:val="-4"/>
                <w:sz w:val="21"/>
                <w:szCs w:val="21"/>
              </w:rPr>
              <w:t>…</w:t>
            </w:r>
          </w:p>
        </w:tc>
        <w:tc>
          <w:tcPr>
            <w:tcW w:w="2086"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2506"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2300"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939"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r>
    </w:tbl>
    <w:p>
      <w:pPr>
        <w:pStyle w:val="6"/>
        <w:keepNext w:val="0"/>
        <w:keepLines w:val="0"/>
        <w:adjustRightInd w:val="0"/>
        <w:spacing w:before="120" w:beforeLines="50" w:after="0" w:line="530" w:lineRule="exact"/>
        <w:ind w:firstLine="560" w:firstLineChars="200"/>
        <w:rPr>
          <w:rFonts w:ascii="黑体" w:hAnsi="黑体"/>
          <w:b w:val="0"/>
          <w:bCs w:val="0"/>
        </w:rPr>
      </w:pPr>
      <w:r>
        <w:rPr>
          <w:rFonts w:hint="eastAsia" w:ascii="黑体" w:hAnsi="黑体"/>
          <w:b w:val="0"/>
          <w:bCs w:val="0"/>
        </w:rPr>
        <w:t>六、履约验收</w:t>
      </w:r>
    </w:p>
    <w:p>
      <w:pPr>
        <w:adjustRightInd w:val="0"/>
        <w:spacing w:line="530" w:lineRule="exact"/>
        <w:ind w:firstLine="560" w:firstLineChars="200"/>
        <w:rPr>
          <w:rFonts w:ascii="楷体" w:hAnsi="楷体" w:eastAsia="楷体_GB2312"/>
          <w:bCs/>
          <w:sz w:val="28"/>
          <w:szCs w:val="28"/>
        </w:rPr>
      </w:pPr>
      <w:r>
        <w:rPr>
          <w:rFonts w:hint="eastAsia" w:ascii="仿宋" w:hAnsi="仿宋" w:eastAsia="仿宋_GB2312"/>
          <w:bCs/>
          <w:sz w:val="28"/>
          <w:szCs w:val="28"/>
        </w:rPr>
        <w:t>本合同交付服务的履约验收，其方式、程序、内容和验收标准等事项，按甲方规定执行。</w:t>
      </w:r>
      <w:r>
        <w:rPr>
          <w:rFonts w:hint="eastAsia" w:ascii="楷体" w:hAnsi="楷体" w:eastAsia="楷体_GB2312" w:cs="楷体_GB2312"/>
          <w:bCs/>
          <w:sz w:val="24"/>
        </w:rPr>
        <w:t>（应在采购文件中予以明确，特别是涉及经费事项）</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w:t>
      </w:r>
      <w:bookmarkStart w:id="3" w:name="_Hlk129347058"/>
      <w:r>
        <w:rPr>
          <w:rFonts w:hint="eastAsia" w:ascii="仿宋" w:hAnsi="仿宋" w:eastAsia="仿宋_GB2312"/>
          <w:bCs/>
          <w:sz w:val="28"/>
          <w:szCs w:val="28"/>
        </w:rPr>
        <w:t>服务</w:t>
      </w:r>
      <w:bookmarkEnd w:id="3"/>
      <w:r>
        <w:rPr>
          <w:rFonts w:hint="eastAsia" w:ascii="仿宋" w:hAnsi="仿宋" w:eastAsia="仿宋_GB2312"/>
          <w:bCs/>
          <w:sz w:val="28"/>
          <w:szCs w:val="28"/>
        </w:rPr>
        <w:t>分期考核验收</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1.</w:t>
      </w:r>
      <w:r>
        <w:rPr>
          <w:rFonts w:hint="eastAsia" w:ascii="仿宋" w:hAnsi="仿宋" w:eastAsia="仿宋_GB2312"/>
          <w:bCs/>
          <w:sz w:val="28"/>
          <w:szCs w:val="28"/>
        </w:rPr>
        <w:t>甲方按合同约定的分期考核内容、标准对乙方实施的服务进行验收。</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2.合同约定的分期考核内容包括日常督导考核、岗位督查、专项检查、特殊部位或者场所检查、满意度调查、合同履约综合评价等。</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（1）日常督导考核。甲方按考核标准对乙方实施的服务进行日常巡查，发现问题告知乙方，并做好督查记录。甲方根据乙方改进情况和问题的严重程度，按考核标准对乙方进行处理。</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（2）岗位督查。甲方按考核标准检查乙方服务人员到岗情况，发现缺岗的，甲方按考核标</w:t>
      </w:r>
      <w:r>
        <w:rPr>
          <w:rFonts w:hint="eastAsia" w:ascii="仿宋" w:hAnsi="仿宋" w:eastAsia="仿宋_GB2312"/>
          <w:bCs/>
          <w:sz w:val="28"/>
          <w:szCs w:val="28"/>
        </w:rPr>
        <w:t>准对乙方进行处理。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（3）专项检查。甲方针对服务的重点、难点问题或管理要求进行专项检查，双方共同记录。乙方对甲方在专项检查中发现问题，应当予以整改。乙方问题多次出现或整改不力的，甲方按考核标准进行处理。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（4）特殊部位或者场所检查。甲方对服务区域的特殊部位或者场所进行检查，发现问题甲方按考核标准对乙方进行处理。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（5）满意度调查：甲方按合同约定的考核时间组织服务对象或者委托第三方对服务效果进行满意度调查。甲方根据调查结果，按考核标准对乙方进行奖励或处罚。</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（6）合同履约综合评价：甲方按合同约定的考核时间对乙方合同履行情况进行综合评价，</w:t>
      </w:r>
      <w:r>
        <w:rPr>
          <w:rFonts w:hint="eastAsia" w:ascii="仿宋" w:hAnsi="仿宋" w:eastAsia="仿宋_GB2312"/>
          <w:bCs/>
          <w:sz w:val="28"/>
          <w:szCs w:val="28"/>
        </w:rPr>
        <w:t>综合评价可作为款项支付以及续签合同的依据。</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3.服</w:t>
      </w:r>
      <w:r>
        <w:rPr>
          <w:rFonts w:hint="eastAsia" w:ascii="仿宋" w:hAnsi="仿宋" w:eastAsia="仿宋_GB2312"/>
          <w:bCs/>
          <w:sz w:val="28"/>
          <w:szCs w:val="28"/>
        </w:rPr>
        <w:t>务分期考核内容、标准：</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4.服</w:t>
      </w:r>
      <w:r>
        <w:rPr>
          <w:rFonts w:hint="eastAsia" w:ascii="仿宋" w:hAnsi="仿宋" w:eastAsia="仿宋_GB2312"/>
          <w:bCs/>
          <w:sz w:val="28"/>
          <w:szCs w:val="28"/>
        </w:rPr>
        <w:t>务分期考核验收的其他要求：</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5.考</w:t>
      </w:r>
      <w:r>
        <w:rPr>
          <w:rFonts w:hint="eastAsia" w:ascii="仿宋" w:hAnsi="仿宋" w:eastAsia="仿宋_GB2312"/>
          <w:bCs/>
          <w:sz w:val="28"/>
          <w:szCs w:val="28"/>
        </w:rPr>
        <w:t>核的其他要求：</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bCs/>
          <w:sz w:val="28"/>
          <w:szCs w:val="28"/>
          <w:u w:val="single"/>
        </w:rPr>
      </w:pPr>
      <w:r>
        <w:rPr>
          <w:rFonts w:hint="eastAsia" w:ascii="仿宋" w:hAnsi="仿宋" w:eastAsia="仿宋_GB2312"/>
          <w:bCs/>
          <w:sz w:val="28"/>
          <w:szCs w:val="28"/>
        </w:rPr>
        <w:t>□（二）验收的其他要求：</w:t>
      </w:r>
      <w:r>
        <w:rPr>
          <w:rFonts w:hint="eastAsia" w:ascii="仿宋" w:hAnsi="仿宋" w:eastAsia="仿宋_GB2312"/>
          <w:bCs/>
          <w:sz w:val="28"/>
          <w:szCs w:val="28"/>
          <w:u w:val="single"/>
        </w:rPr>
        <w:t xml:space="preserve">                        </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七、甲方权利和义务</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（一）乘车人员必须遵守乙方的安全乘车规定，爱护乙方车辆设备，人为损坏，由当事人照价赔偿。</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（二）甲方及所属单位、乘车人员，不得要求乙方违章驾车或在不准停靠车辆的路段上下人员。</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（三）应当按合同（协议）要求按时向乙方支付服务费用。</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甲方及所属单位有权定期检查乙方车辆的安全可靠性、驾驶员服务态度和落实疫情防控措施要求情况，如：刹车、方向、轮胎、灯光和车辆消毒、开窗通风等。如有问题，可及时通知乙方负责人协调解决。乙方对甲方提出的意见须认真整改并及时通报相关整改情况。</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（五）甲方及所属单位对乙方所承运甲方线路的车辆以及司机情况有知情权，并有权对项目负责人、管理人员、司机政审复核。</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（六）协调有关采购审价机构组织审价，及时告知审价结果。（限单一来源采购方式使用）</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（七）甲方应提供准确的用车日期、时间、行驶路线、用车数量，甲方保证行车线路及停靠站符合交通安全法规定。</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（八）甲方指定一名负责人，将姓名、联系方式提供给乙方，并保证乘车人数不超过车辆准乘人数。</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（九）甲方有权对乙方不符合要求的车辆、驾驶员提出改进或更换</w:t>
      </w:r>
      <w:r>
        <w:rPr>
          <w:rFonts w:ascii="仿宋" w:hAnsi="仿宋" w:eastAsia="仿宋_GB2312"/>
          <w:bCs/>
          <w:sz w:val="28"/>
          <w:szCs w:val="28"/>
        </w:rPr>
        <w:t>(需乘坐人员对该车辆、司机提出书面意见)。</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十）甲方乘车人员应尊重司机，自觉维护车内卫生，爱护车辆设备，不干扰司机安全驾驶，不提出违反《中华人民共和国道路交通安全法》的要求，如临时遇到特殊情况，可通过指定的负责人与乙方负责人进行协商解决。</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（十一）由于临时性交通管制或恶劣天气造成车辆误点，甲方应给予理解，且不追究乙方责任。</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八、乙方权利和义务</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（一）须严格落实国家、军队等各项要求，提供的车辆，须经甲方认定，乙方承担甲方所租用车辆的年检、税、燃油、保险、维修保养等各项费用，做到车况良好，车容整洁。</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（二）承运车辆必须符合中华人民共和国的有关营运车辆行驶安全标准，车辆的各项技术状况良好。</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须提供具有服务经验丰富、道德品质良好、驾驶技能过硬、特情处置灵活且无任何犯罪记录的驾驶员为甲方服务，并将驾驶员身份证及机动车驾驶证复印件交甲方备案；督促教育所属驾驶员时刻注意安全行车，积极主动做好治安防范工作。</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（四）在承运期间不得随意更换车型或转租他方车辆代替，如更换车辆或转租第三方车辆代替，必须经得甲方同意，否则甲方不承担该车辆的服务费用，由此造成的相关损失由乙方全部承担。</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五）必须严格执行中华人民共和国有关保险条例规定，承运车辆按机动车辆行驶证核定的载客人数购买车辆保险，不得提供无法律法规规定的相关险种的车辆或者证照不齐全的车辆。同时乙方驾驶员有权拒绝车辆超载承运。</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运行过程中如发生意外交通事故，应当及时向公安交管及保险部门报案，如造成甲方乘车人员伤亡等，应当积极将伤者送往医院及时治疗。事故均由乙方负责处理，并承担相关赔偿责任、一切费用和经济损失。</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（六）必须根据甲方需求，采取专项服务方式，按照指定的车辆和规定线路与人数，实行日常承运服务。当接到甲方有关车辆调度、服务质量投诉，</w:t>
      </w:r>
      <w:r>
        <w:rPr>
          <w:rFonts w:ascii="仿宋" w:hAnsi="仿宋" w:eastAsia="仿宋_GB2312"/>
          <w:bCs/>
          <w:sz w:val="28"/>
          <w:szCs w:val="28"/>
          <w:u w:val="single"/>
        </w:rPr>
        <w:t xml:space="preserve">     </w:t>
      </w:r>
      <w:r>
        <w:rPr>
          <w:rFonts w:ascii="仿宋" w:hAnsi="仿宋" w:eastAsia="仿宋_GB2312"/>
          <w:bCs/>
          <w:sz w:val="28"/>
          <w:szCs w:val="28"/>
        </w:rPr>
        <w:t>分钟内须给予明确答复。对于重大投诉应当</w:t>
      </w:r>
      <w:r>
        <w:rPr>
          <w:rFonts w:ascii="仿宋" w:hAnsi="仿宋" w:eastAsia="仿宋_GB2312"/>
          <w:bCs/>
          <w:sz w:val="28"/>
          <w:szCs w:val="28"/>
          <w:u w:val="single"/>
        </w:rPr>
        <w:t xml:space="preserve">             </w:t>
      </w:r>
      <w:r>
        <w:rPr>
          <w:rFonts w:ascii="仿宋" w:hAnsi="仿宋" w:eastAsia="仿宋_GB2312"/>
          <w:bCs/>
          <w:sz w:val="28"/>
          <w:szCs w:val="28"/>
        </w:rPr>
        <w:t>；若对甲方投诉未及时正确处理和解决达</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ascii="仿宋" w:hAnsi="仿宋" w:eastAsia="仿宋_GB2312"/>
          <w:bCs/>
          <w:sz w:val="28"/>
          <w:szCs w:val="28"/>
        </w:rPr>
        <w:t>次以上，甲方有权给予相应处罚直至终止合同（协议）。</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（七）因车况（空调、安全性、卫生等）原因连续投诉同一车辆</w:t>
      </w:r>
      <w:r>
        <w:rPr>
          <w:rFonts w:ascii="仿宋" w:hAnsi="仿宋" w:eastAsia="仿宋_GB2312"/>
          <w:bCs/>
          <w:sz w:val="28"/>
          <w:szCs w:val="28"/>
          <w:u w:val="single"/>
        </w:rPr>
        <w:t xml:space="preserve">  </w:t>
      </w:r>
      <w:r>
        <w:rPr>
          <w:rFonts w:ascii="仿宋" w:hAnsi="仿宋" w:eastAsia="仿宋_GB2312"/>
          <w:bCs/>
          <w:sz w:val="28"/>
          <w:szCs w:val="28"/>
        </w:rPr>
        <w:t>次的，乙方应当更换车辆。乙方驾驶员本着服务的宗旨禁止与乘车人员争吵、打架。同一驾驶员一个月内被投诉</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ascii="仿宋" w:hAnsi="仿宋" w:eastAsia="仿宋_GB2312"/>
          <w:bCs/>
          <w:sz w:val="28"/>
          <w:szCs w:val="28"/>
        </w:rPr>
        <w:t>次或</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ascii="仿宋" w:hAnsi="仿宋" w:eastAsia="仿宋_GB2312"/>
          <w:bCs/>
          <w:sz w:val="28"/>
          <w:szCs w:val="28"/>
        </w:rPr>
        <w:t>人以上同时投诉的，乙方应当更换司机。如被投诉车辆得不到明显改善或车况达不到合同（协议）承诺标准以及不更换甲方不认可的驾驶员，甲方有权对乙方进行处置或单方面解除合同（协议）。</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（八）应当指派专人，服从甲方管理，负责甲方有关联络事宜，负责处理和协调甲方现场事宜。</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（九）承运车辆应当正确摆放甲方提供的标识牌，做到比发车时间早</w:t>
      </w:r>
      <w:r>
        <w:rPr>
          <w:rFonts w:ascii="仿宋" w:hAnsi="仿宋" w:eastAsia="仿宋_GB2312"/>
          <w:bCs/>
          <w:sz w:val="28"/>
          <w:szCs w:val="28"/>
        </w:rPr>
        <w:t xml:space="preserve">     分钟到达指定位置，准时发车,确保准时率达</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rPr>
        <w:t>%</w:t>
      </w:r>
      <w:r>
        <w:rPr>
          <w:rFonts w:ascii="仿宋" w:hAnsi="仿宋" w:eastAsia="仿宋_GB2312"/>
          <w:bCs/>
          <w:sz w:val="28"/>
          <w:szCs w:val="28"/>
        </w:rPr>
        <w:t>以上。</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（十）承运车辆驾驶员必须严格遵守《中华人民共和国道路交通安全法》等法律、法规，必须经驾驶专业正规培训，礼貌驾驶，文明服务。严禁酒后驾车、疲劳驾车，若经发现一起</w:t>
      </w:r>
      <w:r>
        <w:rPr>
          <w:rFonts w:ascii="仿宋" w:hAnsi="仿宋" w:eastAsia="仿宋_GB2312"/>
          <w:bCs/>
          <w:sz w:val="28"/>
          <w:szCs w:val="28"/>
          <w:u w:val="single"/>
        </w:rPr>
        <w:t xml:space="preserve">      </w:t>
      </w:r>
      <w:r>
        <w:rPr>
          <w:rFonts w:ascii="仿宋" w:hAnsi="仿宋" w:eastAsia="仿宋_GB2312"/>
          <w:bCs/>
          <w:sz w:val="28"/>
          <w:szCs w:val="28"/>
        </w:rPr>
        <w:t xml:space="preserve">处置。 </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（十一）驾驶员在承运期间须保证准时准点，并严格按照规定的线路、站点行驶停靠，不得提前发车、迟到、串线、混载</w:t>
      </w:r>
      <w:r>
        <w:rPr>
          <w:rFonts w:ascii="仿宋" w:hAnsi="仿宋" w:eastAsia="仿宋_GB2312"/>
          <w:bCs/>
          <w:sz w:val="28"/>
          <w:szCs w:val="28"/>
        </w:rPr>
        <w:t>(非甲方人员及其货物)、溜站、甩客等。</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（十二）司机和乘务人员的薪资（含加班工资、奖金）、福利、社会保险等待遇，由乙方按照国家相关政策承担。对司机和乘务人员出现的劳动纠纷等，产生的一切费用均有乙方负责。</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（十三）承运车辆抛锚、交通事故等非不可抗拒力</w:t>
      </w:r>
      <w:r>
        <w:rPr>
          <w:rFonts w:ascii="仿宋" w:hAnsi="仿宋" w:eastAsia="仿宋_GB2312"/>
          <w:bCs/>
          <w:sz w:val="28"/>
          <w:szCs w:val="28"/>
        </w:rPr>
        <w:t>(交通管制、戒严、自然灾害、堵车等)属乙方原因，影响甲方人员乘坐的，应当及时调度车辆完成保障任务，若无法及时完成保障任务，应当承担所有乘客由此产生的交通费用，并在</w:t>
      </w:r>
      <w:r>
        <w:rPr>
          <w:rFonts w:ascii="仿宋" w:hAnsi="仿宋" w:eastAsia="仿宋_GB2312"/>
          <w:bCs/>
          <w:sz w:val="28"/>
          <w:szCs w:val="28"/>
          <w:u w:val="single"/>
        </w:rPr>
        <w:t xml:space="preserve">    </w:t>
      </w:r>
      <w:r>
        <w:rPr>
          <w:rFonts w:ascii="仿宋" w:hAnsi="仿宋" w:eastAsia="仿宋_GB2312"/>
          <w:bCs/>
          <w:sz w:val="28"/>
          <w:szCs w:val="28"/>
        </w:rPr>
        <w:t>个工作日内予以报销到所涉人员个人账户。除不可抗力外，所造成的甲方一切费用由乙方承担。如出现不可抗力因素，应当第一时间通知甲方，否则因此造成的交通费用由乙方承担。</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（十四）乙方接到用车通知后，应根据甲方用车要求和制定的路线，进行严格周密的计划，并组织实施。</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（十五）乙方为甲方提供用车服务过程中，如遇突发事件，按照《中华人民共和国道路安全法》等有关规定执行。乙方定期处理交通违章。</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（十六）乙方负责做到安全正点。乙方不得随意变更行驶路线、站点及时间，如需调整，必须经甲方负责人认可后可更改。未经许可，严禁其他单位的人员乘搭车。</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（十七）乙方应严格落实国家、军队等关于疫情防控的各项要求，制定并动态完善疫情防控应急预案。加强员工日常教育管理，对疫情防控工作负完全责任，并自觉接受甲方的检查监督，不得谎报、虚报。</w:t>
      </w:r>
    </w:p>
    <w:p>
      <w:pPr>
        <w:adjustRightInd w:val="0"/>
        <w:spacing w:line="530" w:lineRule="exact"/>
        <w:ind w:firstLine="560" w:firstLineChars="200"/>
      </w:pPr>
      <w:r>
        <w:rPr>
          <w:rFonts w:hint="eastAsia" w:ascii="仿宋" w:hAnsi="仿宋" w:eastAsia="仿宋_GB2312"/>
          <w:bCs/>
          <w:sz w:val="28"/>
          <w:szCs w:val="28"/>
        </w:rPr>
        <w:t>（十八）有关法律规定和当事人约定的其他权利义务。</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□九、物资编目编码、打码贴签要求</w:t>
      </w:r>
      <w:r>
        <w:rPr>
          <w:rFonts w:hint="eastAsia" w:ascii="楷体" w:hAnsi="楷体" w:eastAsia="楷体_GB2312"/>
          <w:b w:val="0"/>
          <w:bCs w:val="0"/>
          <w:sz w:val="24"/>
        </w:rPr>
        <w:t>（合同标的包含物资的，按照下列要求对物资进行编目编码和打码贴签）</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1.乙方可通过军队采购网互联网网站（www.plap.mil.cn），下载安装编目用户终端软件。按要求录入采购物资数据，导入技术规范、产品说明书、图片等便于物资识别的电子文件资料，生成编目申请数据包，提交甲方或承担军队资产编目编码职能的单位。</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2.乙方应当配合甲方或承担军队资产编目编码职能的单位，补充完善编目数据。</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3.乙方通过甲方接收赋码后的编目数据包，导入编目用户终端软件，获取品种码，正确填入合同文本，用于打码贴签、验收结算等。</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4.甲方有单件管理需要的，乙方应当依据规则或示例程序自行生成单件码。</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（二）乙方应当按照统一要求在物资交</w:t>
      </w:r>
      <w:r>
        <w:rPr>
          <w:rFonts w:hint="eastAsia" w:ascii="仿宋" w:hAnsi="仿宋"/>
          <w:bCs/>
          <w:sz w:val="28"/>
          <w:szCs w:val="28"/>
          <w:lang w:eastAsia="zh-CN"/>
        </w:rPr>
        <w:t>货</w:t>
      </w:r>
      <w:r>
        <w:rPr>
          <w:rFonts w:hint="eastAsia" w:ascii="仿宋" w:hAnsi="仿宋" w:eastAsia="仿宋_GB2312"/>
          <w:bCs/>
          <w:sz w:val="28"/>
          <w:szCs w:val="28"/>
        </w:rPr>
        <w:t>前完成打码贴签工作。</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1.物资标识标签格式、张挂位置、材质、码制等内容，应当符合军队有关要求。</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2.物资标识标签上的品种码应当与合同物资明细表中的品种码完全一致。</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（三）物资编目数据填报和打码贴签情况，列入出厂验收、接收验收项目；编目数据、标识标签不符合规范要求的，验收不予通过，不得进入物资储存单位。乙方应当在7日内完成整改，重新协调甲方组织验收。</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□十、保密要求</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涉密项目，乙方应当承担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严格遵守国家和军队保密法规制度要求，制定并严格落实保密管理制度，设置保密部门，配备保密人员，开展保密培训，严格约束所属员工行为，接受和配合甲方或者军方采购管理部门、采购机构组织开展的保密指导和监督检查。</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未经甲方或者军方有权单位许可，不以摘抄、复制、告知、公布、出版、传递、转让或者以其他任何方式使任何第三方组织和人员知悉本采购项目及其合同订立履行保密信息。甲方提供的或者参与本项目及其合同订立履行获悉的所有信息均视为保密信息，甲方或者军方有权单位明确表示无需保密的信息除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本采购项目及其合同订立履行保密信息，包括以手写、打印、软件、磁盘、光盘、胶片、图片、音视频或者其他可读取方式记载的数据信息和文档资料，实行专人管理、专室专柜存放、定期审核销毁，不擅自复制留存。</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（四）不在联接互联网计算机中存储、处理、传递，不通过普通电话、传真、快递等非保密渠道传递本采购项目及其合同订立履行保密信息。</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□十一、履约保证金</w:t>
      </w:r>
      <w:r>
        <w:rPr>
          <w:rFonts w:hint="eastAsia" w:ascii="楷体" w:hAnsi="楷体" w:eastAsia="楷体_GB2312" w:cs="楷体_GB2312"/>
          <w:b w:val="0"/>
          <w:bCs w:val="0"/>
          <w:sz w:val="24"/>
          <w:szCs w:val="24"/>
        </w:rPr>
        <w:t>（采购文件未要求的，不得在订立合同时增加该条款）</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bCs/>
          <w:sz w:val="28"/>
          <w:szCs w:val="28"/>
        </w:rPr>
        <w:t>（一）本合同履约保证金为合同金额的</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hint="eastAsia" w:ascii="仿宋" w:hAnsi="仿宋"/>
          <w:bCs/>
          <w:sz w:val="28"/>
          <w:szCs w:val="28"/>
          <w:lang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rPr>
        <w:t>（不超过10%）</w:t>
      </w:r>
      <w:r>
        <w:rPr>
          <w:rFonts w:hint="eastAsia" w:ascii="仿宋" w:hAnsi="仿宋" w:eastAsia="仿宋_GB2312"/>
          <w:bCs/>
          <w:sz w:val="28"/>
          <w:szCs w:val="28"/>
        </w:rPr>
        <w:t>。</w:t>
      </w:r>
      <w:r>
        <w:rPr>
          <w:rFonts w:hint="eastAsia" w:ascii="仿宋_GB2312" w:hAnsi="仿宋_GB2312" w:eastAsia="仿宋_GB2312" w:cs="仿宋_GB2312"/>
          <w:bCs/>
          <w:sz w:val="28"/>
          <w:szCs w:val="28"/>
        </w:rPr>
        <w:t>乙方应当在签订合同前</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日内缴纳履约保证金。</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（二）乙方在合同履行过程中存在违约行为，合同被甲方终止的，甲方有权没收乙方履约保证金。</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（三）履约保证金在合同最终支付结算时，无息返还。</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（四）乙方应当向甲方支付合同项下的违约金或赔偿金时，甲方有权从履约保证金中予以扣除。</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十二、资金结算</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（一）合同约定采用下列之一的方式进行资金结算：</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cs="仿宋_GB2312"/>
          <w:bCs/>
          <w:sz w:val="28"/>
          <w:szCs w:val="28"/>
          <w:lang w:eastAsia="zh-CN"/>
        </w:rPr>
        <w:t>本合同无</w:t>
      </w:r>
      <w:r>
        <w:rPr>
          <w:rFonts w:hint="eastAsia" w:ascii="仿宋_GB2312" w:hAnsi="仿宋_GB2312" w:eastAsia="仿宋_GB2312" w:cs="仿宋_GB2312"/>
          <w:bCs/>
          <w:sz w:val="28"/>
          <w:szCs w:val="28"/>
          <w:lang w:val="zh-CN"/>
        </w:rPr>
        <w:t>预付款，服务完成</w:t>
      </w:r>
      <w:r>
        <w:rPr>
          <w:rFonts w:hint="eastAsia" w:cs="仿宋_GB2312"/>
          <w:bCs/>
          <w:sz w:val="28"/>
          <w:szCs w:val="28"/>
          <w:lang w:val="zh-CN"/>
        </w:rPr>
        <w:t>并验收合格</w:t>
      </w:r>
      <w:r>
        <w:rPr>
          <w:rFonts w:hint="eastAsia" w:ascii="仿宋_GB2312" w:hAnsi="仿宋_GB2312" w:eastAsia="仿宋_GB2312" w:cs="仿宋_GB2312"/>
          <w:bCs/>
          <w:sz w:val="28"/>
          <w:szCs w:val="28"/>
          <w:lang w:val="zh-CN"/>
        </w:rPr>
        <w:t>后，乙方收集发票、验收报告等</w:t>
      </w:r>
      <w:r>
        <w:rPr>
          <w:rFonts w:hint="eastAsia" w:ascii="仿宋_GB2312" w:hAnsi="仿宋_GB2312" w:eastAsia="仿宋_GB2312" w:cs="仿宋_GB2312"/>
          <w:bCs/>
          <w:sz w:val="28"/>
          <w:szCs w:val="28"/>
        </w:rPr>
        <w:t>材料</w:t>
      </w:r>
      <w:r>
        <w:rPr>
          <w:rFonts w:hint="eastAsia" w:ascii="仿宋_GB2312" w:hAnsi="仿宋_GB2312" w:eastAsia="仿宋_GB2312" w:cs="仿宋_GB2312"/>
          <w:bCs/>
          <w:sz w:val="28"/>
          <w:szCs w:val="28"/>
          <w:lang w:val="zh-CN"/>
        </w:rPr>
        <w:t>，提交</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办理结算手续，</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在</w:t>
      </w:r>
      <w:r>
        <w:rPr>
          <w:rFonts w:hint="eastAsia" w:ascii="仿宋_GB2312" w:hAnsi="仿宋_GB2312" w:eastAsia="仿宋_GB2312" w:cs="仿宋_GB2312"/>
          <w:bCs/>
          <w:sz w:val="28"/>
          <w:szCs w:val="28"/>
          <w:u w:val="single"/>
          <w:lang w:val="zh-CN"/>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lang w:val="zh-CN"/>
        </w:rPr>
        <w:t>日内向乙方支付</w:t>
      </w:r>
      <w:r>
        <w:rPr>
          <w:rFonts w:hint="eastAsia" w:cs="仿宋_GB2312"/>
          <w:bCs/>
          <w:sz w:val="28"/>
          <w:szCs w:val="28"/>
          <w:lang w:val="zh-CN"/>
        </w:rPr>
        <w:t>全部合同款项，即</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zh-CN"/>
        </w:rPr>
        <w:t>。</w:t>
      </w:r>
      <w:r>
        <w:rPr>
          <w:rFonts w:hint="eastAsia" w:ascii="楷体_GB2312" w:hAnsi="楷体_GB2312" w:eastAsia="楷体_GB2312" w:cs="楷体_GB2312"/>
          <w:bCs/>
          <w:sz w:val="24"/>
          <w:szCs w:val="24"/>
        </w:rPr>
        <w:t>（适用于采购金额小履约周期短的采购项目）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lang w:val="zh-CN"/>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zh-CN"/>
        </w:rPr>
        <w:t>合同签订后</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日内</w:t>
      </w:r>
      <w:r>
        <w:rPr>
          <w:rFonts w:hint="eastAsia" w:ascii="仿宋" w:hAnsi="仿宋"/>
          <w:bCs/>
          <w:sz w:val="28"/>
          <w:szCs w:val="28"/>
          <w:lang w:val="zh-CN"/>
        </w:rPr>
        <w:t>，甲方预付合同金额的</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u w:val="none"/>
          <w:lang w:val="en-US" w:eastAsia="zh-CN"/>
        </w:rPr>
        <w:t>%</w:t>
      </w:r>
      <w:r>
        <w:rPr>
          <w:rFonts w:hint="eastAsia" w:ascii="仿宋" w:hAnsi="仿宋"/>
          <w:bCs/>
          <w:sz w:val="28"/>
          <w:szCs w:val="28"/>
          <w:lang w:val="zh-CN"/>
        </w:rPr>
        <w:t>，即</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u w:val="none"/>
        </w:rPr>
        <w:t>（</w:t>
      </w:r>
      <w:r>
        <w:rPr>
          <w:rFonts w:hint="eastAsia" w:ascii="楷体_GB2312" w:hAnsi="楷体_GB2312" w:eastAsia="楷体_GB2312" w:cs="楷体_GB2312"/>
          <w:bCs/>
          <w:sz w:val="24"/>
          <w:szCs w:val="24"/>
          <w:u w:val="none"/>
          <w:lang w:eastAsia="zh-CN"/>
        </w:rPr>
        <w:t>不得</w:t>
      </w:r>
      <w:r>
        <w:rPr>
          <w:rFonts w:hint="eastAsia" w:ascii="楷体_GB2312" w:hAnsi="楷体_GB2312" w:eastAsia="楷体_GB2312" w:cs="楷体_GB2312"/>
          <w:bCs/>
          <w:sz w:val="24"/>
          <w:szCs w:val="24"/>
          <w:u w:val="none"/>
        </w:rPr>
        <w:t>超过</w:t>
      </w:r>
      <w:r>
        <w:rPr>
          <w:rFonts w:hint="eastAsia" w:ascii="楷体_GB2312" w:hAnsi="楷体_GB2312" w:eastAsia="楷体_GB2312" w:cs="楷体_GB2312"/>
          <w:bCs/>
          <w:sz w:val="24"/>
          <w:szCs w:val="24"/>
          <w:u w:val="none"/>
          <w:lang w:eastAsia="zh-CN"/>
        </w:rPr>
        <w:t>合同金额的</w:t>
      </w:r>
      <w:r>
        <w:rPr>
          <w:rFonts w:hint="eastAsia" w:ascii="楷体_GB2312" w:hAnsi="楷体_GB2312" w:eastAsia="楷体_GB2312" w:cs="楷体_GB2312"/>
          <w:bCs/>
          <w:sz w:val="24"/>
          <w:szCs w:val="24"/>
          <w:u w:val="none"/>
        </w:rPr>
        <w:t>30%）</w:t>
      </w:r>
      <w:r>
        <w:rPr>
          <w:rFonts w:hint="eastAsia" w:ascii="仿宋_GB2312" w:hAnsi="仿宋_GB2312" w:eastAsia="仿宋_GB2312" w:cs="仿宋_GB2312"/>
          <w:bCs/>
          <w:sz w:val="28"/>
          <w:szCs w:val="28"/>
          <w:lang w:val="zh-CN"/>
        </w:rPr>
        <w:t>，服务完成</w:t>
      </w:r>
      <w:r>
        <w:rPr>
          <w:rFonts w:hint="eastAsia" w:cs="仿宋_GB2312"/>
          <w:bCs/>
          <w:sz w:val="28"/>
          <w:szCs w:val="28"/>
          <w:lang w:val="zh-CN"/>
        </w:rPr>
        <w:t>并验收合格</w:t>
      </w:r>
      <w:r>
        <w:rPr>
          <w:rFonts w:hint="eastAsia" w:ascii="仿宋_GB2312" w:hAnsi="仿宋_GB2312" w:eastAsia="仿宋_GB2312" w:cs="仿宋_GB2312"/>
          <w:bCs/>
          <w:sz w:val="28"/>
          <w:szCs w:val="28"/>
          <w:lang w:val="zh-CN"/>
        </w:rPr>
        <w:t>后，乙方向</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提交发票、验收报告等结算</w:t>
      </w:r>
      <w:r>
        <w:rPr>
          <w:rFonts w:hint="eastAsia" w:ascii="仿宋_GB2312" w:hAnsi="仿宋_GB2312" w:eastAsia="仿宋_GB2312" w:cs="仿宋_GB2312"/>
          <w:bCs/>
          <w:sz w:val="28"/>
          <w:szCs w:val="28"/>
        </w:rPr>
        <w:t>材料</w:t>
      </w:r>
      <w:r>
        <w:rPr>
          <w:rFonts w:hint="eastAsia" w:ascii="仿宋_GB2312" w:hAnsi="仿宋_GB2312" w:eastAsia="仿宋_GB2312" w:cs="仿宋_GB2312"/>
          <w:bCs/>
          <w:sz w:val="28"/>
          <w:szCs w:val="28"/>
          <w:lang w:val="zh-CN"/>
        </w:rPr>
        <w:t>，</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在</w:t>
      </w:r>
      <w:r>
        <w:rPr>
          <w:rFonts w:hint="eastAsia" w:ascii="仿宋" w:hAnsi="仿宋" w:eastAsia="仿宋_GB2312"/>
          <w:bCs/>
          <w:sz w:val="28"/>
          <w:szCs w:val="28"/>
          <w:u w:val="single"/>
          <w:lang w:val="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lang w:val="zh-CN"/>
        </w:rPr>
        <w:t xml:space="preserve"> </w:t>
      </w:r>
      <w:r>
        <w:rPr>
          <w:rFonts w:hint="eastAsia" w:ascii="仿宋_GB2312" w:hAnsi="仿宋_GB2312" w:eastAsia="仿宋_GB2312" w:cs="仿宋_GB2312"/>
          <w:bCs/>
          <w:sz w:val="28"/>
          <w:szCs w:val="28"/>
          <w:lang w:val="zh-CN"/>
        </w:rPr>
        <w:t>日内</w:t>
      </w:r>
      <w:r>
        <w:rPr>
          <w:rFonts w:hint="eastAsia" w:ascii="仿宋" w:hAnsi="仿宋" w:eastAsia="仿宋_GB2312"/>
          <w:bCs/>
          <w:sz w:val="28"/>
          <w:szCs w:val="28"/>
          <w:lang w:val="zh-CN"/>
        </w:rPr>
        <w:t>向乙方支付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u w:val="none"/>
          <w:lang w:val="en-US" w:eastAsia="zh-CN"/>
        </w:rPr>
        <w:t>%</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楷体_GB2312" w:hAnsi="楷体_GB2312" w:eastAsia="楷体_GB2312" w:cs="楷体_GB2312"/>
          <w:bCs/>
          <w:sz w:val="24"/>
          <w:szCs w:val="24"/>
          <w:u w:val="none"/>
          <w:lang w:val="zh-CN"/>
        </w:rPr>
      </w:pP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分阶段付款，第一阶段，乙方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u w:val="none"/>
          <w:lang w:val="en-US" w:eastAsia="zh-CN"/>
        </w:rPr>
        <w:t>%</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；第二阶段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u w:val="none"/>
          <w:lang w:val="en-US" w:eastAsia="zh-CN"/>
        </w:rPr>
        <w:t>%</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；第三阶段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u w:val="none"/>
          <w:lang w:val="en-US" w:eastAsia="zh-CN"/>
        </w:rPr>
        <w:t>%</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r>
        <w:rPr>
          <w:rFonts w:hint="eastAsia" w:ascii="楷体_GB2312" w:hAnsi="楷体_GB2312" w:eastAsia="楷体_GB2312" w:cs="楷体_GB2312"/>
          <w:bCs/>
          <w:sz w:val="24"/>
          <w:szCs w:val="24"/>
          <w:u w:val="none"/>
          <w:lang w:val="zh-CN"/>
        </w:rPr>
        <w:t>（支付阶段、结算依据和比例根据军队财务规定和项目情况确定）</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w:t>
      </w:r>
      <w:r>
        <w:rPr>
          <w:rFonts w:hint="eastAsia" w:ascii="仿宋" w:hAnsi="仿宋" w:eastAsia="仿宋_GB2312"/>
          <w:bCs/>
          <w:sz w:val="28"/>
          <w:szCs w:val="28"/>
          <w:lang w:val="zh-CN"/>
        </w:rPr>
        <w:t>其他方式</w:t>
      </w:r>
      <w:r>
        <w:rPr>
          <w:rFonts w:hint="eastAsia" w:ascii="仿宋" w:hAnsi="仿宋" w:eastAsia="仿宋_GB2312"/>
          <w:bCs/>
          <w:sz w:val="28"/>
          <w:szCs w:val="28"/>
        </w:rPr>
        <w:t>：</w:t>
      </w:r>
      <w:r>
        <w:rPr>
          <w:rFonts w:hint="eastAsia" w:ascii="仿宋" w:hAnsi="仿宋" w:eastAsia="仿宋_GB2312"/>
          <w:bCs/>
          <w:sz w:val="28"/>
          <w:szCs w:val="28"/>
          <w:u w:val="single"/>
          <w:lang w:val="zh-CN"/>
        </w:rPr>
        <w:t xml:space="preserve">                               </w:t>
      </w:r>
    </w:p>
    <w:p>
      <w:pPr>
        <w:adjustRightInd w:val="0"/>
        <w:spacing w:line="530" w:lineRule="exact"/>
        <w:ind w:firstLine="560" w:firstLineChars="200"/>
        <w:rPr>
          <w:rFonts w:ascii="仿宋" w:hAnsi="仿宋" w:eastAsia="仿宋_GB2312"/>
          <w:bCs/>
          <w:sz w:val="28"/>
          <w:szCs w:val="28"/>
        </w:rPr>
      </w:pPr>
      <w:bookmarkStart w:id="4" w:name="_Hlk129354415"/>
      <w:r>
        <w:rPr>
          <w:rFonts w:hint="eastAsia" w:ascii="仿宋" w:hAnsi="仿宋" w:eastAsia="仿宋_GB2312"/>
          <w:bCs/>
          <w:sz w:val="28"/>
          <w:szCs w:val="28"/>
        </w:rPr>
        <w:t>（二）乙方应当向甲方支付合同项下的违约金或赔偿金时，甲方有权从上述任何一笔应当付款中予以扣除。</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（三）在结算过程中，乙方出具虚假发票或其他虚假材料的，按照提供虚假材料情况处理。</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（四）未经军队采购平台合同管理信息系统编号或者未按照要求进行备案的物资工程服务采购合同书，不得办理支付手续。</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十三、违约责任</w:t>
      </w:r>
    </w:p>
    <w:bookmarkEnd w:id="4"/>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bookmarkStart w:id="5" w:name="_Hlk129348417"/>
      <w:r>
        <w:rPr>
          <w:rFonts w:hint="eastAsia" w:ascii="仿宋_GB2312" w:hAnsi="仿宋_GB2312" w:eastAsia="仿宋_GB2312" w:cs="仿宋_GB2312"/>
          <w:bCs/>
          <w:sz w:val="28"/>
          <w:szCs w:val="28"/>
        </w:rPr>
        <w:t>（一）乙方未经甲方同意而延期履行的，应当向甲方偿付违约金，违约金每天按合同金额的</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（通常为1‰-1%，</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计算，违约金最高限额为合同金额的</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（通常为5%-10%，</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。如果达到违约金最高限额时仍不能履行，或</w:t>
      </w:r>
      <w:r>
        <w:rPr>
          <w:rFonts w:hint="eastAsia" w:cs="仿宋_GB2312"/>
          <w:bCs/>
          <w:sz w:val="28"/>
          <w:szCs w:val="28"/>
          <w:lang w:eastAsia="zh-CN"/>
        </w:rPr>
        <w:t>因延期履行</w:t>
      </w:r>
      <w:r>
        <w:rPr>
          <w:rFonts w:hint="eastAsia" w:ascii="仿宋_GB2312" w:hAnsi="仿宋_GB2312" w:eastAsia="仿宋_GB2312" w:cs="仿宋_GB2312"/>
          <w:bCs/>
          <w:sz w:val="28"/>
          <w:szCs w:val="28"/>
        </w:rPr>
        <w:t>影响甲方任务实施，甲方可以终止合同，而由此给甲方造成的实际损失，乙方应当给予足额赔偿。</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_GB2312" w:hAnsi="仿宋_GB2312" w:eastAsia="仿宋_GB2312" w:cs="仿宋_GB2312"/>
          <w:bCs/>
          <w:sz w:val="28"/>
          <w:szCs w:val="28"/>
        </w:rPr>
        <w:t>（二）</w:t>
      </w:r>
      <w:bookmarkEnd w:id="5"/>
      <w:bookmarkStart w:id="6" w:name="_Hlk129350035"/>
      <w:r>
        <w:rPr>
          <w:rFonts w:hint="eastAsia" w:ascii="仿宋_GB2312" w:hAnsi="仿宋_GB2312" w:eastAsia="仿宋_GB2312" w:cs="仿宋_GB2312"/>
          <w:bCs/>
          <w:sz w:val="28"/>
          <w:szCs w:val="28"/>
        </w:rPr>
        <w:t>乙方</w:t>
      </w:r>
      <w:bookmarkEnd w:id="6"/>
      <w:r>
        <w:rPr>
          <w:rFonts w:hint="eastAsia" w:ascii="仿宋_GB2312" w:hAnsi="仿宋_GB2312" w:eastAsia="仿宋_GB2312" w:cs="仿宋_GB2312"/>
          <w:bCs/>
          <w:sz w:val="28"/>
          <w:szCs w:val="28"/>
        </w:rPr>
        <w:t>不能满足</w:t>
      </w:r>
      <w:bookmarkStart w:id="7" w:name="_Hlk129355209"/>
      <w:r>
        <w:rPr>
          <w:rFonts w:hint="eastAsia" w:ascii="仿宋_GB2312" w:hAnsi="仿宋_GB2312" w:eastAsia="仿宋_GB2312" w:cs="仿宋_GB2312"/>
          <w:bCs/>
          <w:sz w:val="28"/>
          <w:szCs w:val="28"/>
        </w:rPr>
        <w:t>合同约定</w:t>
      </w:r>
      <w:bookmarkEnd w:id="7"/>
      <w:r>
        <w:rPr>
          <w:rFonts w:hint="eastAsia" w:ascii="仿宋_GB2312" w:hAnsi="仿宋_GB2312" w:eastAsia="仿宋_GB2312" w:cs="仿宋_GB2312"/>
          <w:bCs/>
          <w:sz w:val="28"/>
          <w:szCs w:val="28"/>
        </w:rPr>
        <w:t>的服务内容和标准等要求的，甲方可按</w:t>
      </w:r>
      <w:r>
        <w:rPr>
          <w:rFonts w:hint="eastAsia" w:ascii="仿宋" w:hAnsi="仿宋" w:eastAsia="仿宋_GB2312"/>
          <w:bCs/>
          <w:sz w:val="28"/>
          <w:szCs w:val="28"/>
        </w:rPr>
        <w:t>合同约定的分期考核标准扣减相应的服务酬金。因乙方违反合同约定给甲方造成损失的，乙方应当赔偿甲方损失。</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bCs/>
          <w:sz w:val="28"/>
          <w:szCs w:val="28"/>
        </w:rPr>
        <w:t>（三）甲方需按约定及时足额支付服务款，未按约定及时足额支付服</w:t>
      </w:r>
      <w:r>
        <w:rPr>
          <w:rFonts w:hint="eastAsia" w:ascii="仿宋_GB2312" w:hAnsi="仿宋_GB2312" w:eastAsia="仿宋_GB2312" w:cs="仿宋_GB2312"/>
          <w:bCs/>
          <w:sz w:val="28"/>
          <w:szCs w:val="28"/>
        </w:rPr>
        <w:t>务款时，甲方向乙方偿付违约金。每迟付一天按</w:t>
      </w:r>
      <w:r>
        <w:rPr>
          <w:rFonts w:hint="eastAsia" w:cs="仿宋_GB2312"/>
          <w:bCs/>
          <w:sz w:val="28"/>
          <w:szCs w:val="28"/>
          <w:lang w:eastAsia="zh-CN"/>
        </w:rPr>
        <w:t>合同</w:t>
      </w:r>
      <w:r>
        <w:rPr>
          <w:rFonts w:hint="eastAsia" w:ascii="仿宋_GB2312" w:hAnsi="仿宋_GB2312" w:eastAsia="仿宋_GB2312" w:cs="仿宋_GB2312"/>
          <w:bCs/>
          <w:sz w:val="28"/>
          <w:szCs w:val="28"/>
        </w:rPr>
        <w:t>金额的</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（通常为1‰-1%，可按照项目实际情况设定）</w:t>
      </w:r>
      <w:r>
        <w:rPr>
          <w:rFonts w:hint="eastAsia" w:ascii="仿宋_GB2312" w:hAnsi="仿宋_GB2312" w:eastAsia="仿宋_GB2312" w:cs="仿宋_GB2312"/>
          <w:bCs/>
          <w:sz w:val="28"/>
          <w:szCs w:val="28"/>
        </w:rPr>
        <w:t>向乙方偿付违约金，违约金最高限额为</w:t>
      </w:r>
      <w:r>
        <w:rPr>
          <w:rFonts w:hint="eastAsia" w:cs="仿宋_GB2312"/>
          <w:bCs/>
          <w:sz w:val="28"/>
          <w:szCs w:val="28"/>
          <w:lang w:eastAsia="zh-CN"/>
        </w:rPr>
        <w:t>合同</w:t>
      </w:r>
      <w:r>
        <w:rPr>
          <w:rFonts w:hint="eastAsia" w:ascii="仿宋_GB2312" w:hAnsi="仿宋_GB2312" w:eastAsia="仿宋_GB2312" w:cs="仿宋_GB2312"/>
          <w:bCs/>
          <w:sz w:val="28"/>
          <w:szCs w:val="28"/>
        </w:rPr>
        <w:t>金额的</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（通常为5%-10%，</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w:t>
      </w:r>
    </w:p>
    <w:p>
      <w:pPr>
        <w:adjustRightInd w:val="0"/>
        <w:spacing w:line="530" w:lineRule="exact"/>
        <w:ind w:firstLine="560" w:firstLineChars="200"/>
        <w:rPr>
          <w:rFonts w:hint="eastAsia" w:ascii="仿宋" w:hAnsi="仿宋"/>
          <w:bCs/>
          <w:sz w:val="28"/>
          <w:szCs w:val="28"/>
        </w:rPr>
      </w:pPr>
      <w:r>
        <w:rPr>
          <w:rFonts w:hint="eastAsia" w:ascii="仿宋" w:hAnsi="仿宋" w:eastAsia="仿宋_GB2312"/>
          <w:bCs/>
          <w:sz w:val="28"/>
          <w:szCs w:val="28"/>
        </w:rPr>
        <w:t>（</w:t>
      </w:r>
      <w:r>
        <w:rPr>
          <w:rFonts w:hint="eastAsia" w:ascii="仿宋" w:hAnsi="仿宋"/>
          <w:bCs/>
          <w:sz w:val="28"/>
          <w:szCs w:val="28"/>
          <w:lang w:eastAsia="zh-CN"/>
        </w:rPr>
        <w:t>四</w:t>
      </w:r>
      <w:r>
        <w:rPr>
          <w:rFonts w:hint="eastAsia" w:ascii="仿宋" w:hAnsi="仿宋" w:eastAsia="仿宋_GB2312"/>
          <w:bCs/>
          <w:sz w:val="28"/>
          <w:szCs w:val="28"/>
        </w:rPr>
        <w:t>）</w:t>
      </w:r>
      <w:r>
        <w:rPr>
          <w:rFonts w:hint="eastAsia" w:ascii="仿宋" w:hAnsi="仿宋"/>
          <w:bCs/>
          <w:sz w:val="28"/>
          <w:szCs w:val="28"/>
          <w:lang w:eastAsia="zh-CN"/>
        </w:rPr>
        <w:t>如因不可抗力事件导致一方无法履行合同，该方应立即书面通知对方，并在合理期限内提供权威机构出具的证明。受影响方应尽力减轻不可抗力事件所造成的影响</w:t>
      </w:r>
      <w:r>
        <w:rPr>
          <w:rFonts w:hint="eastAsia" w:ascii="仿宋" w:hAnsi="仿宋" w:eastAsia="仿宋_GB2312"/>
          <w:bCs/>
          <w:sz w:val="28"/>
          <w:szCs w:val="28"/>
        </w:rPr>
        <w:t>。</w:t>
      </w:r>
      <w:r>
        <w:rPr>
          <w:rFonts w:hint="eastAsia" w:ascii="仿宋" w:hAnsi="仿宋"/>
          <w:bCs/>
          <w:sz w:val="28"/>
          <w:szCs w:val="28"/>
          <w:lang w:eastAsia="zh-CN"/>
        </w:rPr>
        <w:t>如法律对不可抗力有其他规定，或合同迟延履行后发生不可抗力事件，本条款不免除违约方的责任。</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十四、争议解决方式</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合同履行过程中发生争议，先按照合同通用条款约定的争议解决方式处理，处理不成功的，甲方或者乙方可以按下列方式提起仲裁或诉讼</w:t>
      </w:r>
      <w:r>
        <w:rPr>
          <w:rFonts w:hint="eastAsia" w:ascii="楷体" w:hAnsi="楷体" w:eastAsia="楷体_GB2312" w:cs="楷体_GB2312"/>
          <w:bCs/>
          <w:sz w:val="24"/>
        </w:rPr>
        <w:t>（此条款为单选，不选或全选无效）</w:t>
      </w:r>
      <w:r>
        <w:rPr>
          <w:rFonts w:hint="eastAsia" w:ascii="仿宋" w:hAnsi="仿宋"/>
          <w:bCs/>
          <w:sz w:val="28"/>
          <w:szCs w:val="28"/>
        </w:rPr>
        <w:t>：</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□向</w:t>
      </w:r>
      <w:r>
        <w:rPr>
          <w:rFonts w:hint="eastAsia" w:ascii="仿宋" w:hAnsi="仿宋" w:eastAsia="仿宋_GB2312"/>
          <w:sz w:val="28"/>
          <w:szCs w:val="28"/>
          <w:u w:val="single"/>
        </w:rPr>
        <w:t xml:space="preserve">             </w:t>
      </w:r>
      <w:r>
        <w:rPr>
          <w:rFonts w:hint="eastAsia" w:ascii="楷体" w:hAnsi="楷体" w:eastAsia="楷体_GB2312" w:cs="楷体_GB2312"/>
          <w:bCs/>
          <w:sz w:val="24"/>
        </w:rPr>
        <w:t>（甲方所在地仲裁机构名称）</w:t>
      </w:r>
      <w:r>
        <w:rPr>
          <w:rFonts w:hint="eastAsia" w:ascii="仿宋" w:hAnsi="仿宋" w:eastAsia="仿宋_GB2312"/>
          <w:bCs/>
          <w:sz w:val="28"/>
          <w:szCs w:val="28"/>
        </w:rPr>
        <w:t>提起仲裁。</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□向甲方所在地人民法院提起诉讼。</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十五、合同生效</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（一）经双方法定代表人或授权代表签字并经单位盖章后生效。未经甲方允许，乙方不得部分或全部转让其应当履行的合同义务。</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（二）本合同一式</w:t>
      </w:r>
      <w:r>
        <w:rPr>
          <w:rFonts w:hint="eastAsia" w:ascii="仿宋" w:hAnsi="仿宋" w:eastAsia="仿宋_GB2312"/>
          <w:bCs/>
          <w:sz w:val="28"/>
          <w:szCs w:val="28"/>
          <w:u w:val="single"/>
        </w:rPr>
        <w:t xml:space="preserve">    </w:t>
      </w:r>
      <w:r>
        <w:rPr>
          <w:rFonts w:hint="eastAsia" w:ascii="仿宋" w:hAnsi="仿宋" w:eastAsia="仿宋_GB2312"/>
          <w:bCs/>
          <w:sz w:val="28"/>
          <w:szCs w:val="28"/>
        </w:rPr>
        <w:t>份，由双方各执一份，甲方财务结算部门一份，</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十六、其他事项</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其他：</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□十七、附件</w:t>
      </w:r>
    </w:p>
    <w:p>
      <w:pPr>
        <w:pStyle w:val="8"/>
        <w:adjustRightInd w:val="0"/>
        <w:spacing w:line="530" w:lineRule="exact"/>
        <w:ind w:firstLine="560" w:firstLineChars="200"/>
        <w:jc w:val="left"/>
        <w:rPr>
          <w:rFonts w:ascii="仿宋" w:hAnsi="仿宋"/>
          <w:bCs/>
          <w:sz w:val="28"/>
          <w:szCs w:val="28"/>
        </w:rPr>
      </w:pPr>
    </w:p>
    <w:p>
      <w:pPr>
        <w:pStyle w:val="8"/>
        <w:adjustRightInd w:val="0"/>
        <w:spacing w:line="530" w:lineRule="exact"/>
        <w:ind w:firstLine="560" w:firstLineChars="200"/>
        <w:jc w:val="left"/>
        <w:rPr>
          <w:rFonts w:ascii="仿宋" w:hAnsi="仿宋" w:eastAsia="仿宋_GB2312"/>
          <w:bCs/>
          <w:sz w:val="28"/>
          <w:szCs w:val="28"/>
        </w:rPr>
      </w:pPr>
      <w:r>
        <w:rPr>
          <w:rFonts w:hint="eastAsia" w:ascii="仿宋" w:hAnsi="仿宋" w:eastAsia="仿宋_GB2312"/>
          <w:bCs/>
          <w:sz w:val="28"/>
          <w:szCs w:val="28"/>
        </w:rPr>
        <w:t>注释：本项目采购文件、乙方投标（报价）文件、补充文件、澄清承诺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通知书</w:t>
      </w:r>
      <w:r>
        <w:rPr>
          <w:rFonts w:hint="eastAsia" w:ascii="仿宋" w:hAnsi="仿宋" w:eastAsia="仿宋_GB2312"/>
          <w:bCs/>
          <w:sz w:val="28"/>
          <w:szCs w:val="28"/>
        </w:rPr>
        <w:t>，均为签订合同的依据。合同签订按照《军队物资工程服务采购合同管理暂行规定》执行，内容不得与采购文件、乙方投标（报价）文件、补充文件、澄清承诺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通知书</w:t>
      </w:r>
      <w:r>
        <w:rPr>
          <w:rFonts w:hint="eastAsia" w:ascii="仿宋" w:hAnsi="仿宋" w:eastAsia="仿宋_GB2312"/>
          <w:bCs/>
          <w:sz w:val="28"/>
          <w:szCs w:val="28"/>
        </w:rPr>
        <w:t>的实质性内容相背离。</w:t>
      </w:r>
      <w:bookmarkStart w:id="8" w:name="_GoBack"/>
      <w:bookmarkEnd w:id="8"/>
    </w:p>
    <w:p>
      <w:pPr>
        <w:pStyle w:val="8"/>
        <w:adjustRightInd w:val="0"/>
        <w:spacing w:line="530" w:lineRule="exact"/>
        <w:ind w:firstLine="560" w:firstLineChars="200"/>
        <w:jc w:val="left"/>
        <w:rPr>
          <w:rFonts w:ascii="仿宋" w:hAnsi="仿宋" w:cs="Courier New"/>
          <w:bCs/>
          <w:sz w:val="28"/>
          <w:szCs w:val="28"/>
        </w:rPr>
      </w:pPr>
    </w:p>
    <w:p>
      <w:pPr>
        <w:pStyle w:val="8"/>
        <w:adjustRightInd w:val="0"/>
        <w:spacing w:line="530" w:lineRule="exact"/>
        <w:ind w:firstLine="560" w:firstLineChars="200"/>
        <w:jc w:val="left"/>
        <w:rPr>
          <w:rFonts w:ascii="仿宋" w:hAnsi="仿宋" w:cs="Courier New"/>
          <w:bCs/>
          <w:sz w:val="28"/>
          <w:szCs w:val="28"/>
        </w:rPr>
      </w:pPr>
    </w:p>
    <w:p>
      <w:pPr>
        <w:pStyle w:val="8"/>
        <w:adjustRightInd w:val="0"/>
        <w:spacing w:line="530" w:lineRule="exact"/>
        <w:ind w:firstLine="560" w:firstLineChars="200"/>
        <w:jc w:val="left"/>
        <w:rPr>
          <w:rFonts w:ascii="仿宋" w:hAnsi="仿宋" w:cs="Courier New"/>
          <w:bCs/>
          <w:sz w:val="28"/>
          <w:szCs w:val="28"/>
        </w:rPr>
      </w:pPr>
    </w:p>
    <w:tbl>
      <w:tblPr>
        <w:tblStyle w:val="13"/>
        <w:tblW w:w="8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0"/>
        <w:gridCol w:w="4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jc w:val="center"/>
        </w:trPr>
        <w:tc>
          <w:tcPr>
            <w:tcW w:w="4410" w:type="dxa"/>
            <w:vAlign w:val="center"/>
          </w:tcPr>
          <w:p>
            <w:pPr>
              <w:pStyle w:val="2"/>
              <w:adjustRightInd w:val="0"/>
              <w:spacing w:after="0"/>
              <w:rPr>
                <w:rFonts w:ascii="仿宋" w:hAnsi="仿宋" w:eastAsia="仿宋"/>
                <w:sz w:val="28"/>
                <w:szCs w:val="22"/>
              </w:rPr>
            </w:pPr>
            <w:r>
              <w:rPr>
                <w:rFonts w:hint="eastAsia" w:ascii="仿宋" w:hAnsi="仿宋" w:eastAsia="仿宋_GB2312"/>
                <w:sz w:val="28"/>
                <w:szCs w:val="22"/>
              </w:rPr>
              <w:t>甲      方：（公章）</w:t>
            </w:r>
          </w:p>
        </w:tc>
        <w:tc>
          <w:tcPr>
            <w:tcW w:w="4410" w:type="dxa"/>
            <w:vAlign w:val="center"/>
          </w:tcPr>
          <w:p>
            <w:pPr>
              <w:pStyle w:val="2"/>
              <w:adjustRightInd w:val="0"/>
              <w:spacing w:after="0"/>
              <w:rPr>
                <w:rFonts w:ascii="仿宋" w:hAnsi="仿宋" w:eastAsia="仿宋"/>
                <w:sz w:val="28"/>
                <w:szCs w:val="22"/>
              </w:rPr>
            </w:pPr>
            <w:r>
              <w:rPr>
                <w:rFonts w:hint="eastAsia" w:ascii="仿宋" w:hAnsi="仿宋" w:eastAsia="仿宋_GB2312"/>
                <w:sz w:val="28"/>
                <w:szCs w:val="22"/>
              </w:rPr>
              <w:t>乙      方：（公章）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6" w:hRule="atLeast"/>
          <w:jc w:val="center"/>
        </w:trPr>
        <w:tc>
          <w:tcPr>
            <w:tcW w:w="4410" w:type="dxa"/>
            <w:vAlign w:val="center"/>
          </w:tcPr>
          <w:p>
            <w:pPr>
              <w:pStyle w:val="2"/>
              <w:adjustRightInd w:val="0"/>
              <w:spacing w:after="0" w:line="638" w:lineRule="exact"/>
              <w:rPr>
                <w:rFonts w:ascii="仿宋" w:hAnsi="仿宋" w:eastAsia="仿宋_GB2312" w:cs="宋体"/>
                <w:bCs/>
                <w:sz w:val="28"/>
                <w:szCs w:val="28"/>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p>
        </w:tc>
        <w:tc>
          <w:tcPr>
            <w:tcW w:w="4410" w:type="dxa"/>
            <w:vAlign w:val="center"/>
          </w:tcPr>
          <w:p>
            <w:pPr>
              <w:pStyle w:val="2"/>
              <w:adjustRightInd w:val="0"/>
              <w:spacing w:after="0" w:line="550" w:lineRule="exact"/>
              <w:rPr>
                <w:rFonts w:ascii="仿宋" w:hAnsi="仿宋" w:eastAsia="仿宋_GB2312"/>
                <w:sz w:val="28"/>
                <w:szCs w:val="22"/>
              </w:rPr>
            </w:pPr>
            <w:r>
              <w:rPr>
                <w:rFonts w:hint="eastAsia" w:ascii="仿宋" w:hAnsi="仿宋" w:eastAsia="仿宋_GB2312"/>
                <w:sz w:val="28"/>
                <w:szCs w:val="22"/>
              </w:rPr>
              <w:t>统一社会信用代码：</w:t>
            </w:r>
            <w:r>
              <w:rPr>
                <w:rFonts w:hint="eastAsia" w:ascii="仿宋" w:hAnsi="仿宋" w:eastAsia="仿宋_GB2312"/>
                <w:sz w:val="28"/>
                <w:szCs w:val="22"/>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 w:cs="宋体"/>
                <w:bCs/>
                <w:sz w:val="28"/>
                <w:szCs w:val="28"/>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p>
        </w:tc>
      </w:tr>
    </w:tbl>
    <w:p>
      <w:pPr>
        <w:pStyle w:val="2"/>
      </w:pPr>
    </w:p>
    <w:sectPr>
      <w:pgSz w:w="11906" w:h="16838"/>
      <w:pgMar w:top="2098" w:right="1474" w:bottom="1984" w:left="1587" w:header="851" w:footer="1247" w:gutter="0"/>
      <w:cols w:space="0" w:num="1"/>
      <w:docGrid w:linePitch="4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康俪金黑W8">
    <w:panose1 w:val="020B0809000000000000"/>
    <w:charset w:val="86"/>
    <w:family w:val="auto"/>
    <w:pitch w:val="default"/>
    <w:sig w:usb0="00000001" w:usb1="08010000" w:usb2="0000001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sdt>
      <w:sdtPr>
        <w:id w:val="1827858875"/>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M1w58KgIAAFU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gizZlnY6p3lEToq5u3qGCBgp2sUpVdi0ArT1nVmeBlxnP/cd1GPf4P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CM1w58KgIAAFUEAAAOAAAAAAAAAAEAIAAAADUBAABkcnMv&#10;ZTJvRG9jLnhtbFBLBQYAAAAABgAGAFkBAADRBQAAAAA=&#10;">
              <v:fill on="f" focussize="0,0"/>
              <v:stroke on="f" weight="0.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17</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W&#10;AAAAZHJzL1BLAQIUABQAAAAIAIdO4kAgniRv0wAAAAYBAAAPAAAAAAAAAAEAIAAAADgAAABkcnMv&#10;ZG93bnJldi54bWxQSwECFAAUAAAACACHTuJABWGMPysCAABVBAAADgAAAAAAAAABACAAAAA4AQAA&#10;ZHJzL2Uyb0RvYy54bWxQSwUGAAAAAAYABgBZAQAA1QUAAAAA&#10;">
              <v:fill on="f" focussize="0,0"/>
              <v:stroke on="f" weight="0.5pt"/>
              <v:imagedata o:title=""/>
              <o:lock v:ext="edit" aspectratio="f"/>
              <v:textbox inset="0mm,0mm,0mm,0mm" style="mso-fit-shape-to-text:t;">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17</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v:textbox>
            </v:shape>
          </w:pict>
        </mc:Fallback>
      </mc:AlternateContent>
    </w:r>
    <w:sdt>
      <w:sdtPr>
        <w:id w:val="-1"/>
      </w:sdtPr>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16</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Am1VpzKgIAAFUEAAAOAAAAAAAAAAEAIAAAADUBAABkcnMv&#10;ZTJvRG9jLnhtbFBLBQYAAAAABgAGAFkBAADRBQAAAAA=&#10;">
              <v:fill on="f" focussize="0,0"/>
              <v:stroke on="f" weight="0.5pt"/>
              <v:imagedata o:title=""/>
              <o:lock v:ext="edit" aspectratio="f"/>
              <v:textbox inset="0mm,0mm,0mm,0mm" style="mso-fit-shape-to-text:t;">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16</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documentProtection w:enforcement="0"/>
  <w:defaultTabStop w:val="420"/>
  <w:evenAndOddHeaders w:val="1"/>
  <w:drawingGridHorizontalSpacing w:val="320"/>
  <w:drawingGridVerticalSpacing w:val="245"/>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641"/>
    <w:rsid w:val="0000184E"/>
    <w:rsid w:val="00001FA4"/>
    <w:rsid w:val="00005C0C"/>
    <w:rsid w:val="00011F4D"/>
    <w:rsid w:val="00013975"/>
    <w:rsid w:val="00015286"/>
    <w:rsid w:val="000229E8"/>
    <w:rsid w:val="000313A5"/>
    <w:rsid w:val="00031741"/>
    <w:rsid w:val="000342E2"/>
    <w:rsid w:val="00034C85"/>
    <w:rsid w:val="000362B7"/>
    <w:rsid w:val="000368DE"/>
    <w:rsid w:val="00036CB8"/>
    <w:rsid w:val="000376E8"/>
    <w:rsid w:val="00040648"/>
    <w:rsid w:val="0004710A"/>
    <w:rsid w:val="00052749"/>
    <w:rsid w:val="00053403"/>
    <w:rsid w:val="000577F8"/>
    <w:rsid w:val="0006159C"/>
    <w:rsid w:val="00077351"/>
    <w:rsid w:val="00083E28"/>
    <w:rsid w:val="00083F4D"/>
    <w:rsid w:val="00086490"/>
    <w:rsid w:val="00087EB0"/>
    <w:rsid w:val="0009057A"/>
    <w:rsid w:val="000930E5"/>
    <w:rsid w:val="000C1F82"/>
    <w:rsid w:val="000C5371"/>
    <w:rsid w:val="000C7B09"/>
    <w:rsid w:val="000D5B1A"/>
    <w:rsid w:val="000E3F45"/>
    <w:rsid w:val="000F10C7"/>
    <w:rsid w:val="001063B2"/>
    <w:rsid w:val="00106F13"/>
    <w:rsid w:val="001109AE"/>
    <w:rsid w:val="00114A46"/>
    <w:rsid w:val="001167C6"/>
    <w:rsid w:val="00134717"/>
    <w:rsid w:val="00137E59"/>
    <w:rsid w:val="00145366"/>
    <w:rsid w:val="00145FAF"/>
    <w:rsid w:val="00152468"/>
    <w:rsid w:val="001530DC"/>
    <w:rsid w:val="00154F29"/>
    <w:rsid w:val="00155549"/>
    <w:rsid w:val="00157187"/>
    <w:rsid w:val="00160E3B"/>
    <w:rsid w:val="00173641"/>
    <w:rsid w:val="00173842"/>
    <w:rsid w:val="00174D5B"/>
    <w:rsid w:val="00180F41"/>
    <w:rsid w:val="00181831"/>
    <w:rsid w:val="001822B8"/>
    <w:rsid w:val="0018347A"/>
    <w:rsid w:val="0019181C"/>
    <w:rsid w:val="00191A78"/>
    <w:rsid w:val="001929A3"/>
    <w:rsid w:val="00196939"/>
    <w:rsid w:val="001A1EFD"/>
    <w:rsid w:val="001A1F44"/>
    <w:rsid w:val="001A1F98"/>
    <w:rsid w:val="001B266E"/>
    <w:rsid w:val="001B3599"/>
    <w:rsid w:val="001B429D"/>
    <w:rsid w:val="001C10E2"/>
    <w:rsid w:val="001D236F"/>
    <w:rsid w:val="001D6619"/>
    <w:rsid w:val="001E03FD"/>
    <w:rsid w:val="001E22E0"/>
    <w:rsid w:val="001E26E5"/>
    <w:rsid w:val="001F0CA1"/>
    <w:rsid w:val="001F2F1E"/>
    <w:rsid w:val="00206504"/>
    <w:rsid w:val="00210100"/>
    <w:rsid w:val="0021092C"/>
    <w:rsid w:val="00210A72"/>
    <w:rsid w:val="00211EF3"/>
    <w:rsid w:val="002120E1"/>
    <w:rsid w:val="00217EFC"/>
    <w:rsid w:val="00222F2D"/>
    <w:rsid w:val="002267E4"/>
    <w:rsid w:val="00230C0F"/>
    <w:rsid w:val="0023433A"/>
    <w:rsid w:val="002358FB"/>
    <w:rsid w:val="00235B93"/>
    <w:rsid w:val="002400EE"/>
    <w:rsid w:val="00252AC4"/>
    <w:rsid w:val="00254AF7"/>
    <w:rsid w:val="002562E4"/>
    <w:rsid w:val="00256396"/>
    <w:rsid w:val="00260717"/>
    <w:rsid w:val="00262626"/>
    <w:rsid w:val="00266099"/>
    <w:rsid w:val="0027507F"/>
    <w:rsid w:val="00280219"/>
    <w:rsid w:val="00281017"/>
    <w:rsid w:val="00281AD4"/>
    <w:rsid w:val="002A56E4"/>
    <w:rsid w:val="002A70B0"/>
    <w:rsid w:val="002C0630"/>
    <w:rsid w:val="002C37BC"/>
    <w:rsid w:val="002C40CC"/>
    <w:rsid w:val="002D1942"/>
    <w:rsid w:val="002D35E7"/>
    <w:rsid w:val="002D396F"/>
    <w:rsid w:val="002D6A63"/>
    <w:rsid w:val="002E0A54"/>
    <w:rsid w:val="002E3C82"/>
    <w:rsid w:val="002E6C4D"/>
    <w:rsid w:val="002F0A61"/>
    <w:rsid w:val="002F2C68"/>
    <w:rsid w:val="002F66AF"/>
    <w:rsid w:val="00303428"/>
    <w:rsid w:val="00306D17"/>
    <w:rsid w:val="00310A94"/>
    <w:rsid w:val="003120E2"/>
    <w:rsid w:val="00322F21"/>
    <w:rsid w:val="00324B0E"/>
    <w:rsid w:val="00335027"/>
    <w:rsid w:val="00337074"/>
    <w:rsid w:val="00340437"/>
    <w:rsid w:val="003518C3"/>
    <w:rsid w:val="00356577"/>
    <w:rsid w:val="00372CA8"/>
    <w:rsid w:val="00373982"/>
    <w:rsid w:val="00385FA0"/>
    <w:rsid w:val="003873B3"/>
    <w:rsid w:val="003878A1"/>
    <w:rsid w:val="00391BAD"/>
    <w:rsid w:val="00391E92"/>
    <w:rsid w:val="00393F09"/>
    <w:rsid w:val="003A36A7"/>
    <w:rsid w:val="003A66B3"/>
    <w:rsid w:val="003A6710"/>
    <w:rsid w:val="003B2BD9"/>
    <w:rsid w:val="003B2C59"/>
    <w:rsid w:val="003B5FA2"/>
    <w:rsid w:val="003B62FC"/>
    <w:rsid w:val="003C0B09"/>
    <w:rsid w:val="003C4BD3"/>
    <w:rsid w:val="003E4BC1"/>
    <w:rsid w:val="003E5269"/>
    <w:rsid w:val="003E69F2"/>
    <w:rsid w:val="003F142C"/>
    <w:rsid w:val="003F1C0D"/>
    <w:rsid w:val="003F26B8"/>
    <w:rsid w:val="003F48EA"/>
    <w:rsid w:val="003F7B69"/>
    <w:rsid w:val="00400369"/>
    <w:rsid w:val="00405BAC"/>
    <w:rsid w:val="00407208"/>
    <w:rsid w:val="00407A4D"/>
    <w:rsid w:val="004160E8"/>
    <w:rsid w:val="00430CE7"/>
    <w:rsid w:val="00441C60"/>
    <w:rsid w:val="00442FA4"/>
    <w:rsid w:val="0044539A"/>
    <w:rsid w:val="00451FD7"/>
    <w:rsid w:val="00461EFC"/>
    <w:rsid w:val="00465BED"/>
    <w:rsid w:val="00467901"/>
    <w:rsid w:val="00470DFE"/>
    <w:rsid w:val="00471BC3"/>
    <w:rsid w:val="00474EF5"/>
    <w:rsid w:val="00483400"/>
    <w:rsid w:val="004853F3"/>
    <w:rsid w:val="00491814"/>
    <w:rsid w:val="004A06BA"/>
    <w:rsid w:val="004A5429"/>
    <w:rsid w:val="004A705D"/>
    <w:rsid w:val="004B7045"/>
    <w:rsid w:val="004B7EB6"/>
    <w:rsid w:val="004C3C2D"/>
    <w:rsid w:val="004C4572"/>
    <w:rsid w:val="004D0D31"/>
    <w:rsid w:val="004D18C7"/>
    <w:rsid w:val="004D22BF"/>
    <w:rsid w:val="004D30F3"/>
    <w:rsid w:val="004D712F"/>
    <w:rsid w:val="004E7D8D"/>
    <w:rsid w:val="004F01ED"/>
    <w:rsid w:val="004F1818"/>
    <w:rsid w:val="005000FB"/>
    <w:rsid w:val="00502BA2"/>
    <w:rsid w:val="00504D82"/>
    <w:rsid w:val="00510D7D"/>
    <w:rsid w:val="005144F7"/>
    <w:rsid w:val="00520C31"/>
    <w:rsid w:val="00522DE1"/>
    <w:rsid w:val="00523C88"/>
    <w:rsid w:val="00526FC6"/>
    <w:rsid w:val="005340BB"/>
    <w:rsid w:val="00537355"/>
    <w:rsid w:val="00543992"/>
    <w:rsid w:val="00556D2B"/>
    <w:rsid w:val="00567057"/>
    <w:rsid w:val="00571850"/>
    <w:rsid w:val="00576E05"/>
    <w:rsid w:val="0057704C"/>
    <w:rsid w:val="005853FD"/>
    <w:rsid w:val="0059270E"/>
    <w:rsid w:val="005A33C5"/>
    <w:rsid w:val="005A37DB"/>
    <w:rsid w:val="005B6937"/>
    <w:rsid w:val="005B7763"/>
    <w:rsid w:val="005C093D"/>
    <w:rsid w:val="005C0CDF"/>
    <w:rsid w:val="005C3150"/>
    <w:rsid w:val="005C6EE5"/>
    <w:rsid w:val="005D04BC"/>
    <w:rsid w:val="005D566B"/>
    <w:rsid w:val="005E0E38"/>
    <w:rsid w:val="005E3E5A"/>
    <w:rsid w:val="005E4F91"/>
    <w:rsid w:val="00600F18"/>
    <w:rsid w:val="0060423A"/>
    <w:rsid w:val="00607D45"/>
    <w:rsid w:val="006151C0"/>
    <w:rsid w:val="00616A9E"/>
    <w:rsid w:val="00621C1E"/>
    <w:rsid w:val="00621F0E"/>
    <w:rsid w:val="00634AE7"/>
    <w:rsid w:val="00642D67"/>
    <w:rsid w:val="00645746"/>
    <w:rsid w:val="00652980"/>
    <w:rsid w:val="00654251"/>
    <w:rsid w:val="00662230"/>
    <w:rsid w:val="006651F7"/>
    <w:rsid w:val="00667B36"/>
    <w:rsid w:val="006733AD"/>
    <w:rsid w:val="006755E5"/>
    <w:rsid w:val="00683A54"/>
    <w:rsid w:val="006903FC"/>
    <w:rsid w:val="0069547E"/>
    <w:rsid w:val="006A06C9"/>
    <w:rsid w:val="006A0CA6"/>
    <w:rsid w:val="006A1500"/>
    <w:rsid w:val="006A609F"/>
    <w:rsid w:val="006B43E4"/>
    <w:rsid w:val="006B6438"/>
    <w:rsid w:val="006C0C60"/>
    <w:rsid w:val="006C5E00"/>
    <w:rsid w:val="006D2C35"/>
    <w:rsid w:val="006E3910"/>
    <w:rsid w:val="006E57E4"/>
    <w:rsid w:val="006F271C"/>
    <w:rsid w:val="006F59C7"/>
    <w:rsid w:val="006F736C"/>
    <w:rsid w:val="00701AF6"/>
    <w:rsid w:val="00716062"/>
    <w:rsid w:val="007161D8"/>
    <w:rsid w:val="00721E58"/>
    <w:rsid w:val="007227B1"/>
    <w:rsid w:val="007263E1"/>
    <w:rsid w:val="007448A7"/>
    <w:rsid w:val="00745E18"/>
    <w:rsid w:val="00747F6D"/>
    <w:rsid w:val="007516F8"/>
    <w:rsid w:val="00767053"/>
    <w:rsid w:val="00777C35"/>
    <w:rsid w:val="007817CE"/>
    <w:rsid w:val="0079553E"/>
    <w:rsid w:val="007A0319"/>
    <w:rsid w:val="007A1132"/>
    <w:rsid w:val="007C46A3"/>
    <w:rsid w:val="007C6371"/>
    <w:rsid w:val="007C637B"/>
    <w:rsid w:val="007C6E9F"/>
    <w:rsid w:val="007D4353"/>
    <w:rsid w:val="007E12D9"/>
    <w:rsid w:val="007E1E2D"/>
    <w:rsid w:val="007E2910"/>
    <w:rsid w:val="007E3439"/>
    <w:rsid w:val="007E39FF"/>
    <w:rsid w:val="007E3D89"/>
    <w:rsid w:val="007E5972"/>
    <w:rsid w:val="007E5BE2"/>
    <w:rsid w:val="007F1BEF"/>
    <w:rsid w:val="007F4559"/>
    <w:rsid w:val="007F6CA7"/>
    <w:rsid w:val="007F79D6"/>
    <w:rsid w:val="008131F3"/>
    <w:rsid w:val="00814AB4"/>
    <w:rsid w:val="0081621A"/>
    <w:rsid w:val="00824EA3"/>
    <w:rsid w:val="00824F51"/>
    <w:rsid w:val="00825228"/>
    <w:rsid w:val="00826154"/>
    <w:rsid w:val="008353D6"/>
    <w:rsid w:val="00840CFB"/>
    <w:rsid w:val="00845E44"/>
    <w:rsid w:val="00853B86"/>
    <w:rsid w:val="0086367F"/>
    <w:rsid w:val="008650C6"/>
    <w:rsid w:val="0087359E"/>
    <w:rsid w:val="00873723"/>
    <w:rsid w:val="00874AB4"/>
    <w:rsid w:val="0087728C"/>
    <w:rsid w:val="00896F68"/>
    <w:rsid w:val="008973AE"/>
    <w:rsid w:val="008A7EB9"/>
    <w:rsid w:val="008B16D1"/>
    <w:rsid w:val="008B2ABC"/>
    <w:rsid w:val="008D2597"/>
    <w:rsid w:val="008D3D6D"/>
    <w:rsid w:val="008D42DA"/>
    <w:rsid w:val="008D5072"/>
    <w:rsid w:val="008D62A5"/>
    <w:rsid w:val="008E1148"/>
    <w:rsid w:val="008E2554"/>
    <w:rsid w:val="008F30AC"/>
    <w:rsid w:val="00907106"/>
    <w:rsid w:val="009117BE"/>
    <w:rsid w:val="009245B0"/>
    <w:rsid w:val="00934805"/>
    <w:rsid w:val="009414E0"/>
    <w:rsid w:val="0095113D"/>
    <w:rsid w:val="00963927"/>
    <w:rsid w:val="009674A0"/>
    <w:rsid w:val="00971015"/>
    <w:rsid w:val="0097148D"/>
    <w:rsid w:val="009836A7"/>
    <w:rsid w:val="009944D5"/>
    <w:rsid w:val="00995C7E"/>
    <w:rsid w:val="009A5E7A"/>
    <w:rsid w:val="009A696A"/>
    <w:rsid w:val="009C13BF"/>
    <w:rsid w:val="009C58DA"/>
    <w:rsid w:val="009D10A9"/>
    <w:rsid w:val="009D5DB0"/>
    <w:rsid w:val="009E09D4"/>
    <w:rsid w:val="009E3DA7"/>
    <w:rsid w:val="009F0249"/>
    <w:rsid w:val="009F09DE"/>
    <w:rsid w:val="009F2754"/>
    <w:rsid w:val="009F556D"/>
    <w:rsid w:val="00A001F3"/>
    <w:rsid w:val="00A025D5"/>
    <w:rsid w:val="00A05EF1"/>
    <w:rsid w:val="00A310EF"/>
    <w:rsid w:val="00A4662A"/>
    <w:rsid w:val="00A46A63"/>
    <w:rsid w:val="00A477F9"/>
    <w:rsid w:val="00A562AE"/>
    <w:rsid w:val="00A638F6"/>
    <w:rsid w:val="00A72D69"/>
    <w:rsid w:val="00A82A17"/>
    <w:rsid w:val="00A85815"/>
    <w:rsid w:val="00A86413"/>
    <w:rsid w:val="00A86938"/>
    <w:rsid w:val="00A86A0D"/>
    <w:rsid w:val="00AA1106"/>
    <w:rsid w:val="00AA407C"/>
    <w:rsid w:val="00AA53CC"/>
    <w:rsid w:val="00AB3E5D"/>
    <w:rsid w:val="00AC56BA"/>
    <w:rsid w:val="00AD18B4"/>
    <w:rsid w:val="00AD3476"/>
    <w:rsid w:val="00AD642E"/>
    <w:rsid w:val="00AE1458"/>
    <w:rsid w:val="00AE1C83"/>
    <w:rsid w:val="00AF62A7"/>
    <w:rsid w:val="00AF6B5B"/>
    <w:rsid w:val="00B0346B"/>
    <w:rsid w:val="00B03701"/>
    <w:rsid w:val="00B10744"/>
    <w:rsid w:val="00B122E3"/>
    <w:rsid w:val="00B131E8"/>
    <w:rsid w:val="00B13D2B"/>
    <w:rsid w:val="00B2369F"/>
    <w:rsid w:val="00B2416A"/>
    <w:rsid w:val="00B249E0"/>
    <w:rsid w:val="00B24A8E"/>
    <w:rsid w:val="00B24F01"/>
    <w:rsid w:val="00B271CC"/>
    <w:rsid w:val="00B345F6"/>
    <w:rsid w:val="00B41471"/>
    <w:rsid w:val="00B42033"/>
    <w:rsid w:val="00B535FA"/>
    <w:rsid w:val="00B53D36"/>
    <w:rsid w:val="00B56E0E"/>
    <w:rsid w:val="00B657D9"/>
    <w:rsid w:val="00B65EC8"/>
    <w:rsid w:val="00B7103E"/>
    <w:rsid w:val="00B83883"/>
    <w:rsid w:val="00B921AF"/>
    <w:rsid w:val="00B92B57"/>
    <w:rsid w:val="00BA6D5C"/>
    <w:rsid w:val="00BB500A"/>
    <w:rsid w:val="00BD0EF7"/>
    <w:rsid w:val="00BD288A"/>
    <w:rsid w:val="00BD3184"/>
    <w:rsid w:val="00BD505F"/>
    <w:rsid w:val="00BE0321"/>
    <w:rsid w:val="00BE2D7B"/>
    <w:rsid w:val="00BF0EA4"/>
    <w:rsid w:val="00BF17D9"/>
    <w:rsid w:val="00BF5A2C"/>
    <w:rsid w:val="00BF7118"/>
    <w:rsid w:val="00C0449C"/>
    <w:rsid w:val="00C04E78"/>
    <w:rsid w:val="00C04F37"/>
    <w:rsid w:val="00C1478D"/>
    <w:rsid w:val="00C31DE8"/>
    <w:rsid w:val="00C3450F"/>
    <w:rsid w:val="00C35158"/>
    <w:rsid w:val="00C40C9A"/>
    <w:rsid w:val="00C54391"/>
    <w:rsid w:val="00C60E0E"/>
    <w:rsid w:val="00C62FAF"/>
    <w:rsid w:val="00C67118"/>
    <w:rsid w:val="00C671AC"/>
    <w:rsid w:val="00C74863"/>
    <w:rsid w:val="00C7496E"/>
    <w:rsid w:val="00C74C76"/>
    <w:rsid w:val="00C76D1B"/>
    <w:rsid w:val="00C8545E"/>
    <w:rsid w:val="00C92EC9"/>
    <w:rsid w:val="00C932CD"/>
    <w:rsid w:val="00C950F2"/>
    <w:rsid w:val="00CA4016"/>
    <w:rsid w:val="00CB175F"/>
    <w:rsid w:val="00CB197E"/>
    <w:rsid w:val="00CC3D72"/>
    <w:rsid w:val="00CC49AE"/>
    <w:rsid w:val="00CC63C7"/>
    <w:rsid w:val="00CD0E98"/>
    <w:rsid w:val="00CD4EC4"/>
    <w:rsid w:val="00CE3CA4"/>
    <w:rsid w:val="00CE483C"/>
    <w:rsid w:val="00CE4E01"/>
    <w:rsid w:val="00CF032F"/>
    <w:rsid w:val="00CF2E03"/>
    <w:rsid w:val="00D05E13"/>
    <w:rsid w:val="00D11183"/>
    <w:rsid w:val="00D11FF8"/>
    <w:rsid w:val="00D136AB"/>
    <w:rsid w:val="00D453BC"/>
    <w:rsid w:val="00D4787B"/>
    <w:rsid w:val="00D62016"/>
    <w:rsid w:val="00D620C0"/>
    <w:rsid w:val="00D63590"/>
    <w:rsid w:val="00D63873"/>
    <w:rsid w:val="00D64D3E"/>
    <w:rsid w:val="00D663F3"/>
    <w:rsid w:val="00D71270"/>
    <w:rsid w:val="00D712CE"/>
    <w:rsid w:val="00D72BC2"/>
    <w:rsid w:val="00D93189"/>
    <w:rsid w:val="00D93DD9"/>
    <w:rsid w:val="00D97B0F"/>
    <w:rsid w:val="00DA4DB6"/>
    <w:rsid w:val="00DB34A7"/>
    <w:rsid w:val="00DB445E"/>
    <w:rsid w:val="00DB7DA2"/>
    <w:rsid w:val="00DC7EA4"/>
    <w:rsid w:val="00DE0141"/>
    <w:rsid w:val="00DE5FFF"/>
    <w:rsid w:val="00DE7989"/>
    <w:rsid w:val="00DE7F6D"/>
    <w:rsid w:val="00DF07B2"/>
    <w:rsid w:val="00E0418A"/>
    <w:rsid w:val="00E17460"/>
    <w:rsid w:val="00E1787D"/>
    <w:rsid w:val="00E1790A"/>
    <w:rsid w:val="00E2015F"/>
    <w:rsid w:val="00E20D9B"/>
    <w:rsid w:val="00E244EE"/>
    <w:rsid w:val="00E31FFA"/>
    <w:rsid w:val="00E322E4"/>
    <w:rsid w:val="00E32BD0"/>
    <w:rsid w:val="00E458B4"/>
    <w:rsid w:val="00E46C25"/>
    <w:rsid w:val="00E575AB"/>
    <w:rsid w:val="00E6718F"/>
    <w:rsid w:val="00E73077"/>
    <w:rsid w:val="00E734E6"/>
    <w:rsid w:val="00E7392B"/>
    <w:rsid w:val="00E73AA4"/>
    <w:rsid w:val="00E9066E"/>
    <w:rsid w:val="00E942D2"/>
    <w:rsid w:val="00E95258"/>
    <w:rsid w:val="00E95C52"/>
    <w:rsid w:val="00E9654C"/>
    <w:rsid w:val="00EA03EE"/>
    <w:rsid w:val="00EA13D5"/>
    <w:rsid w:val="00EA5B67"/>
    <w:rsid w:val="00EA74FA"/>
    <w:rsid w:val="00EB0F39"/>
    <w:rsid w:val="00EB4372"/>
    <w:rsid w:val="00EB5A03"/>
    <w:rsid w:val="00EB5C63"/>
    <w:rsid w:val="00EB5FD2"/>
    <w:rsid w:val="00EC256D"/>
    <w:rsid w:val="00EC6C9C"/>
    <w:rsid w:val="00ED156C"/>
    <w:rsid w:val="00ED6277"/>
    <w:rsid w:val="00EE57AE"/>
    <w:rsid w:val="00EE5DB3"/>
    <w:rsid w:val="00EE7065"/>
    <w:rsid w:val="00EF02D0"/>
    <w:rsid w:val="00EF3FEF"/>
    <w:rsid w:val="00EF664A"/>
    <w:rsid w:val="00EF74CF"/>
    <w:rsid w:val="00F0159F"/>
    <w:rsid w:val="00F07916"/>
    <w:rsid w:val="00F129A5"/>
    <w:rsid w:val="00F129AB"/>
    <w:rsid w:val="00F12B2A"/>
    <w:rsid w:val="00F23DCE"/>
    <w:rsid w:val="00F26501"/>
    <w:rsid w:val="00F3145D"/>
    <w:rsid w:val="00F32C9C"/>
    <w:rsid w:val="00F34113"/>
    <w:rsid w:val="00F3445E"/>
    <w:rsid w:val="00F35B27"/>
    <w:rsid w:val="00F51EBB"/>
    <w:rsid w:val="00F554F4"/>
    <w:rsid w:val="00F558AA"/>
    <w:rsid w:val="00F60C01"/>
    <w:rsid w:val="00F6196C"/>
    <w:rsid w:val="00F61E1D"/>
    <w:rsid w:val="00F637A0"/>
    <w:rsid w:val="00F749A1"/>
    <w:rsid w:val="00F7763A"/>
    <w:rsid w:val="00F820DD"/>
    <w:rsid w:val="00F87427"/>
    <w:rsid w:val="00F951A7"/>
    <w:rsid w:val="00FA1A52"/>
    <w:rsid w:val="00FA276E"/>
    <w:rsid w:val="00FA785C"/>
    <w:rsid w:val="00FB0F00"/>
    <w:rsid w:val="00FB52EC"/>
    <w:rsid w:val="00FC3EA9"/>
    <w:rsid w:val="00FD2B54"/>
    <w:rsid w:val="00FD5488"/>
    <w:rsid w:val="00FD650E"/>
    <w:rsid w:val="00FD7CED"/>
    <w:rsid w:val="00FE3C25"/>
    <w:rsid w:val="00FF5996"/>
    <w:rsid w:val="00FF5ACE"/>
    <w:rsid w:val="025F381E"/>
    <w:rsid w:val="02AF6C34"/>
    <w:rsid w:val="06730E82"/>
    <w:rsid w:val="079C0686"/>
    <w:rsid w:val="0C3727D3"/>
    <w:rsid w:val="0EA4586B"/>
    <w:rsid w:val="10586D21"/>
    <w:rsid w:val="105D1C3D"/>
    <w:rsid w:val="111B47A3"/>
    <w:rsid w:val="118C0B23"/>
    <w:rsid w:val="11C1264C"/>
    <w:rsid w:val="12353479"/>
    <w:rsid w:val="1771452D"/>
    <w:rsid w:val="17C12D99"/>
    <w:rsid w:val="183F360B"/>
    <w:rsid w:val="18BE3DB0"/>
    <w:rsid w:val="19413279"/>
    <w:rsid w:val="19D441C5"/>
    <w:rsid w:val="1C3B2DA5"/>
    <w:rsid w:val="1D2E1A11"/>
    <w:rsid w:val="1E1B571D"/>
    <w:rsid w:val="204E13A2"/>
    <w:rsid w:val="224F1184"/>
    <w:rsid w:val="22EC72A1"/>
    <w:rsid w:val="234745A7"/>
    <w:rsid w:val="235252E9"/>
    <w:rsid w:val="26103889"/>
    <w:rsid w:val="272E7CC9"/>
    <w:rsid w:val="27940DE1"/>
    <w:rsid w:val="2807684B"/>
    <w:rsid w:val="286375C7"/>
    <w:rsid w:val="2B94540E"/>
    <w:rsid w:val="2BB13488"/>
    <w:rsid w:val="2BB83D60"/>
    <w:rsid w:val="2CEA118B"/>
    <w:rsid w:val="2E446CF8"/>
    <w:rsid w:val="303A0873"/>
    <w:rsid w:val="304D71D6"/>
    <w:rsid w:val="30A4127D"/>
    <w:rsid w:val="31786C1C"/>
    <w:rsid w:val="31E620EA"/>
    <w:rsid w:val="32014534"/>
    <w:rsid w:val="33EF1CF9"/>
    <w:rsid w:val="343B02B7"/>
    <w:rsid w:val="34A360AF"/>
    <w:rsid w:val="35456ED6"/>
    <w:rsid w:val="35890C9A"/>
    <w:rsid w:val="35ED0128"/>
    <w:rsid w:val="38204CE3"/>
    <w:rsid w:val="3927471D"/>
    <w:rsid w:val="39947E1A"/>
    <w:rsid w:val="39947FCC"/>
    <w:rsid w:val="39A26CBE"/>
    <w:rsid w:val="3A3466CD"/>
    <w:rsid w:val="3D250077"/>
    <w:rsid w:val="3D507670"/>
    <w:rsid w:val="3FC463C8"/>
    <w:rsid w:val="405144D0"/>
    <w:rsid w:val="41277BB4"/>
    <w:rsid w:val="42640151"/>
    <w:rsid w:val="43743E09"/>
    <w:rsid w:val="46DC47D7"/>
    <w:rsid w:val="47CE5F0A"/>
    <w:rsid w:val="485817EC"/>
    <w:rsid w:val="494C7DBA"/>
    <w:rsid w:val="4B9906B2"/>
    <w:rsid w:val="4C4C4058"/>
    <w:rsid w:val="4D566849"/>
    <w:rsid w:val="4D751AA2"/>
    <w:rsid w:val="4D9E3E51"/>
    <w:rsid w:val="4E461062"/>
    <w:rsid w:val="4E5630F4"/>
    <w:rsid w:val="4EC816F2"/>
    <w:rsid w:val="4F765122"/>
    <w:rsid w:val="500378F9"/>
    <w:rsid w:val="511E62EB"/>
    <w:rsid w:val="528A1B2A"/>
    <w:rsid w:val="54207520"/>
    <w:rsid w:val="5521098F"/>
    <w:rsid w:val="55CC794D"/>
    <w:rsid w:val="57B808B5"/>
    <w:rsid w:val="594C595D"/>
    <w:rsid w:val="5A160E4E"/>
    <w:rsid w:val="5D8B16A6"/>
    <w:rsid w:val="5E162DDF"/>
    <w:rsid w:val="5FF719EC"/>
    <w:rsid w:val="61764BE2"/>
    <w:rsid w:val="61D62FCE"/>
    <w:rsid w:val="620B7AFA"/>
    <w:rsid w:val="624406FC"/>
    <w:rsid w:val="633927C0"/>
    <w:rsid w:val="63C673D2"/>
    <w:rsid w:val="643C1CEA"/>
    <w:rsid w:val="64E57406"/>
    <w:rsid w:val="685202C9"/>
    <w:rsid w:val="698373A1"/>
    <w:rsid w:val="6A986B1F"/>
    <w:rsid w:val="6B7E0745"/>
    <w:rsid w:val="6C5D6058"/>
    <w:rsid w:val="6C6C23C8"/>
    <w:rsid w:val="6C755464"/>
    <w:rsid w:val="6F8253A9"/>
    <w:rsid w:val="6FBB6940"/>
    <w:rsid w:val="70CA367A"/>
    <w:rsid w:val="71752373"/>
    <w:rsid w:val="71833D4B"/>
    <w:rsid w:val="73804A61"/>
    <w:rsid w:val="73D31B98"/>
    <w:rsid w:val="747D0702"/>
    <w:rsid w:val="76C42446"/>
    <w:rsid w:val="77A5299C"/>
    <w:rsid w:val="797567D1"/>
    <w:rsid w:val="7CAE2BD2"/>
    <w:rsid w:val="7CBC5B13"/>
    <w:rsid w:val="7EE62606"/>
    <w:rsid w:val="7F357B1D"/>
    <w:rsid w:val="7F503D18"/>
    <w:rsid w:val="7FA94E19"/>
    <w:rsid w:val="7FCD7D17"/>
    <w:rsid w:val="AF7FE0B3"/>
    <w:rsid w:val="BDFFF9B2"/>
    <w:rsid w:val="EEF37CD0"/>
    <w:rsid w:val="FFE6C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_GB2312" w:cs="仿宋_GB2312"/>
      <w:kern w:val="2"/>
      <w:sz w:val="32"/>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1"/>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24"/>
    <w:qFormat/>
    <w:uiPriority w:val="0"/>
    <w:pPr>
      <w:keepNext/>
      <w:keepLines/>
      <w:spacing w:before="260" w:after="260" w:line="416" w:lineRule="auto"/>
      <w:outlineLvl w:val="2"/>
    </w:pPr>
    <w:rPr>
      <w:rFonts w:eastAsia="黑体"/>
      <w:b/>
      <w:bCs/>
      <w:szCs w:val="32"/>
    </w:rPr>
  </w:style>
  <w:style w:type="paragraph" w:styleId="6">
    <w:name w:val="heading 4"/>
    <w:basedOn w:val="1"/>
    <w:next w:val="1"/>
    <w:link w:val="22"/>
    <w:qFormat/>
    <w:uiPriority w:val="0"/>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3"/>
    <w:qFormat/>
    <w:uiPriority w:val="0"/>
    <w:pPr>
      <w:spacing w:after="120"/>
    </w:pPr>
  </w:style>
  <w:style w:type="paragraph" w:styleId="7">
    <w:name w:val="annotation text"/>
    <w:basedOn w:val="1"/>
    <w:link w:val="30"/>
    <w:semiHidden/>
    <w:unhideWhenUsed/>
    <w:qFormat/>
    <w:uiPriority w:val="99"/>
    <w:pPr>
      <w:jc w:val="left"/>
    </w:pPr>
  </w:style>
  <w:style w:type="paragraph" w:styleId="8">
    <w:name w:val="Plain Text"/>
    <w:basedOn w:val="1"/>
    <w:link w:val="26"/>
    <w:qFormat/>
    <w:uiPriority w:val="0"/>
    <w:rPr>
      <w:rFonts w:ascii="宋体" w:hAnsi="Courier New" w:cs="Courier New"/>
      <w:szCs w:val="21"/>
    </w:rPr>
  </w:style>
  <w:style w:type="paragraph" w:styleId="9">
    <w:name w:val="Balloon Text"/>
    <w:basedOn w:val="1"/>
    <w:link w:val="32"/>
    <w:semiHidden/>
    <w:unhideWhenUsed/>
    <w:qFormat/>
    <w:uiPriority w:val="99"/>
    <w:rPr>
      <w:sz w:val="18"/>
      <w:szCs w:val="18"/>
    </w:rPr>
  </w:style>
  <w:style w:type="paragraph" w:styleId="10">
    <w:name w:val="footer"/>
    <w:basedOn w:val="1"/>
    <w:link w:val="29"/>
    <w:unhideWhenUsed/>
    <w:qFormat/>
    <w:uiPriority w:val="99"/>
    <w:pPr>
      <w:tabs>
        <w:tab w:val="center" w:pos="4153"/>
        <w:tab w:val="right" w:pos="8306"/>
      </w:tabs>
      <w:snapToGrid w:val="0"/>
      <w:jc w:val="left"/>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Hyperlink"/>
    <w:qFormat/>
    <w:uiPriority w:val="99"/>
    <w:rPr>
      <w:color w:val="136EC2"/>
      <w:u w:val="single"/>
    </w:rPr>
  </w:style>
  <w:style w:type="character" w:styleId="16">
    <w:name w:val="annotation reference"/>
    <w:basedOn w:val="14"/>
    <w:semiHidden/>
    <w:unhideWhenUsed/>
    <w:qFormat/>
    <w:uiPriority w:val="99"/>
    <w:rPr>
      <w:sz w:val="21"/>
      <w:szCs w:val="21"/>
    </w:rPr>
  </w:style>
  <w:style w:type="character" w:customStyle="1" w:styleId="17">
    <w:name w:val="标题 1 Char"/>
    <w:basedOn w:val="14"/>
    <w:link w:val="3"/>
    <w:qFormat/>
    <w:uiPriority w:val="9"/>
    <w:rPr>
      <w:rFonts w:ascii="Times New Roman" w:hAnsi="Times New Roman" w:eastAsia="宋体" w:cs="Times New Roman"/>
      <w:b/>
      <w:bCs/>
      <w:kern w:val="44"/>
      <w:sz w:val="44"/>
      <w:szCs w:val="44"/>
    </w:rPr>
  </w:style>
  <w:style w:type="character" w:customStyle="1" w:styleId="18">
    <w:name w:val="标题 2 字符"/>
    <w:basedOn w:val="14"/>
    <w:semiHidden/>
    <w:qFormat/>
    <w:uiPriority w:val="9"/>
    <w:rPr>
      <w:rFonts w:asciiTheme="majorHAnsi" w:hAnsiTheme="majorHAnsi" w:eastAsiaTheme="majorEastAsia" w:cstheme="majorBidi"/>
      <w:b/>
      <w:bCs/>
      <w:sz w:val="32"/>
      <w:szCs w:val="32"/>
    </w:rPr>
  </w:style>
  <w:style w:type="character" w:customStyle="1" w:styleId="19">
    <w:name w:val="标题 4 字符"/>
    <w:basedOn w:val="14"/>
    <w:semiHidden/>
    <w:qFormat/>
    <w:uiPriority w:val="9"/>
    <w:rPr>
      <w:rFonts w:asciiTheme="majorHAnsi" w:hAnsiTheme="majorHAnsi" w:eastAsiaTheme="majorEastAsia" w:cstheme="majorBidi"/>
      <w:b/>
      <w:bCs/>
      <w:sz w:val="28"/>
      <w:szCs w:val="28"/>
    </w:rPr>
  </w:style>
  <w:style w:type="character" w:customStyle="1" w:styleId="20">
    <w:name w:val="正文文本 字符"/>
    <w:basedOn w:val="14"/>
    <w:qFormat/>
    <w:uiPriority w:val="0"/>
    <w:rPr>
      <w:rFonts w:ascii="Times New Roman" w:hAnsi="Times New Roman" w:eastAsia="宋体" w:cs="Times New Roman"/>
      <w:szCs w:val="24"/>
    </w:rPr>
  </w:style>
  <w:style w:type="character" w:customStyle="1" w:styleId="21">
    <w:name w:val="标题 2 Char"/>
    <w:basedOn w:val="14"/>
    <w:link w:val="4"/>
    <w:qFormat/>
    <w:uiPriority w:val="0"/>
    <w:rPr>
      <w:rFonts w:ascii="Arial" w:hAnsi="Arial" w:eastAsia="方正小标宋简体" w:cs="Times New Roman"/>
      <w:b/>
      <w:bCs/>
      <w:sz w:val="44"/>
      <w:szCs w:val="32"/>
    </w:rPr>
  </w:style>
  <w:style w:type="character" w:customStyle="1" w:styleId="22">
    <w:name w:val="标题 4 Char"/>
    <w:basedOn w:val="14"/>
    <w:link w:val="6"/>
    <w:qFormat/>
    <w:uiPriority w:val="0"/>
    <w:rPr>
      <w:rFonts w:ascii="Arial" w:hAnsi="Arial" w:eastAsia="黑体" w:cs="Times New Roman"/>
      <w:b/>
      <w:bCs/>
      <w:sz w:val="28"/>
      <w:szCs w:val="28"/>
    </w:rPr>
  </w:style>
  <w:style w:type="character" w:customStyle="1" w:styleId="23">
    <w:name w:val="正文文本 Char"/>
    <w:basedOn w:val="14"/>
    <w:link w:val="2"/>
    <w:qFormat/>
    <w:uiPriority w:val="0"/>
    <w:rPr>
      <w:rFonts w:ascii="Times New Roman" w:hAnsi="Times New Roman" w:eastAsia="宋体" w:cs="Times New Roman"/>
      <w:szCs w:val="24"/>
    </w:rPr>
  </w:style>
  <w:style w:type="character" w:customStyle="1" w:styleId="24">
    <w:name w:val="标题 3 Char"/>
    <w:basedOn w:val="14"/>
    <w:link w:val="5"/>
    <w:qFormat/>
    <w:uiPriority w:val="0"/>
    <w:rPr>
      <w:rFonts w:ascii="Times New Roman" w:hAnsi="Times New Roman" w:eastAsia="黑体" w:cs="Times New Roman"/>
      <w:b/>
      <w:bCs/>
      <w:sz w:val="32"/>
      <w:szCs w:val="32"/>
    </w:rPr>
  </w:style>
  <w:style w:type="character" w:customStyle="1" w:styleId="25">
    <w:name w:val="纯文本 字符"/>
    <w:basedOn w:val="14"/>
    <w:semiHidden/>
    <w:qFormat/>
    <w:uiPriority w:val="99"/>
    <w:rPr>
      <w:rFonts w:hAnsi="Courier New" w:cs="Courier New" w:asciiTheme="minorEastAsia"/>
      <w:szCs w:val="24"/>
    </w:rPr>
  </w:style>
  <w:style w:type="character" w:customStyle="1" w:styleId="26">
    <w:name w:val="纯文本 Char"/>
    <w:basedOn w:val="14"/>
    <w:link w:val="8"/>
    <w:qFormat/>
    <w:uiPriority w:val="0"/>
    <w:rPr>
      <w:rFonts w:ascii="宋体" w:hAnsi="Courier New" w:eastAsia="宋体" w:cs="Courier New"/>
      <w:szCs w:val="21"/>
    </w:rPr>
  </w:style>
  <w:style w:type="paragraph" w:styleId="27">
    <w:name w:val="List Paragraph"/>
    <w:basedOn w:val="1"/>
    <w:qFormat/>
    <w:uiPriority w:val="34"/>
    <w:pPr>
      <w:ind w:firstLine="420" w:firstLineChars="200"/>
    </w:pPr>
  </w:style>
  <w:style w:type="character" w:customStyle="1" w:styleId="28">
    <w:name w:val="页眉 Char"/>
    <w:basedOn w:val="14"/>
    <w:link w:val="11"/>
    <w:qFormat/>
    <w:uiPriority w:val="99"/>
    <w:rPr>
      <w:rFonts w:ascii="Times New Roman" w:hAnsi="Times New Roman" w:eastAsia="宋体" w:cs="Times New Roman"/>
      <w:sz w:val="18"/>
      <w:szCs w:val="18"/>
    </w:rPr>
  </w:style>
  <w:style w:type="character" w:customStyle="1" w:styleId="29">
    <w:name w:val="页脚 Char"/>
    <w:basedOn w:val="14"/>
    <w:link w:val="10"/>
    <w:qFormat/>
    <w:uiPriority w:val="99"/>
    <w:rPr>
      <w:rFonts w:ascii="Times New Roman" w:hAnsi="Times New Roman" w:eastAsia="宋体" w:cs="Times New Roman"/>
      <w:sz w:val="18"/>
      <w:szCs w:val="18"/>
    </w:rPr>
  </w:style>
  <w:style w:type="character" w:customStyle="1" w:styleId="30">
    <w:name w:val="批注文字 Char"/>
    <w:basedOn w:val="14"/>
    <w:link w:val="7"/>
    <w:semiHidden/>
    <w:qFormat/>
    <w:uiPriority w:val="99"/>
    <w:rPr>
      <w:rFonts w:ascii="Times New Roman" w:hAnsi="Times New Roman" w:eastAsia="宋体" w:cs="Times New Roman"/>
      <w:szCs w:val="24"/>
    </w:rPr>
  </w:style>
  <w:style w:type="paragraph" w:customStyle="1" w:styleId="31">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2">
    <w:name w:val="批注框文本 Char"/>
    <w:basedOn w:val="14"/>
    <w:link w:val="9"/>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18</Pages>
  <Words>1460</Words>
  <Characters>8325</Characters>
  <Lines>69</Lines>
  <Paragraphs>19</Paragraphs>
  <TotalTime>0</TotalTime>
  <ScaleCrop>false</ScaleCrop>
  <LinksUpToDate>false</LinksUpToDate>
  <CharactersWithSpaces>9766</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2024-04-18T03:09:00Z</dcterms:created>
  <dc:creator>余文龙</dc:creator>
  <cp:lastModifiedBy>何晓娇</cp:lastModifiedBy>
  <cp:lastPrinted>2024-04-09T01:08:00Z</cp:lastPrinted>
  <dcterms:modified xsi:type="dcterms:W3CDTF">2026-04-07T12:16:39Z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9A7CA82D216C0B0279FBDE650D2992D1</vt:lpwstr>
  </property>
</Properties>
</file>