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道路运输服务项目采购合同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4.乙方对合同解除负有主要过错责任的，甲方有权拒绝接收合同已履行部分服务。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rPr>
      </w:pPr>
      <w:r>
        <w:rPr>
          <w:rFonts w:hint="eastAsia"/>
          <w:b w:val="0"/>
          <w:bCs w:val="0"/>
        </w:rPr>
        <w:t>二、合同标的及金额</w:t>
      </w:r>
    </w:p>
    <w:tbl>
      <w:tblPr>
        <w:tblStyle w:val="12"/>
        <w:tblW w:w="8648"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25"/>
        <w:gridCol w:w="713"/>
        <w:gridCol w:w="202"/>
        <w:gridCol w:w="727"/>
        <w:gridCol w:w="173"/>
        <w:gridCol w:w="284"/>
        <w:gridCol w:w="346"/>
        <w:gridCol w:w="120"/>
        <w:gridCol w:w="713"/>
        <w:gridCol w:w="147"/>
        <w:gridCol w:w="694"/>
        <w:gridCol w:w="194"/>
        <w:gridCol w:w="152"/>
        <w:gridCol w:w="660"/>
        <w:gridCol w:w="310"/>
        <w:gridCol w:w="753"/>
        <w:gridCol w:w="247"/>
        <w:gridCol w:w="549"/>
        <w:gridCol w:w="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7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装货</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地点</w:t>
            </w:r>
          </w:p>
        </w:tc>
        <w:tc>
          <w:tcPr>
            <w:tcW w:w="370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3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装货</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时间</w:t>
            </w:r>
          </w:p>
        </w:tc>
        <w:tc>
          <w:tcPr>
            <w:tcW w:w="3205"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7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卸货</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地点</w:t>
            </w:r>
          </w:p>
        </w:tc>
        <w:tc>
          <w:tcPr>
            <w:tcW w:w="3703"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3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领取物资期限</w:t>
            </w:r>
          </w:p>
        </w:tc>
        <w:tc>
          <w:tcPr>
            <w:tcW w:w="3205"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trPr>
        <w:tc>
          <w:tcPr>
            <w:tcW w:w="7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车辆</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数量</w:t>
            </w:r>
          </w:p>
        </w:tc>
        <w:tc>
          <w:tcPr>
            <w:tcW w:w="4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p>
        </w:tc>
        <w:tc>
          <w:tcPr>
            <w:tcW w:w="91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道路运</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输证号</w:t>
            </w:r>
          </w:p>
        </w:tc>
        <w:tc>
          <w:tcPr>
            <w:tcW w:w="7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p>
        </w:tc>
        <w:tc>
          <w:tcPr>
            <w:tcW w:w="45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车型</w:t>
            </w:r>
          </w:p>
        </w:tc>
        <w:tc>
          <w:tcPr>
            <w:tcW w:w="46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车牌号</w:t>
            </w:r>
          </w:p>
        </w:tc>
        <w:tc>
          <w:tcPr>
            <w:tcW w:w="103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p>
        </w:tc>
        <w:tc>
          <w:tcPr>
            <w:tcW w:w="81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挂车</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牌号</w:t>
            </w:r>
          </w:p>
        </w:tc>
        <w:tc>
          <w:tcPr>
            <w:tcW w:w="106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p>
        </w:tc>
        <w:tc>
          <w:tcPr>
            <w:tcW w:w="79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司机</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pacing w:val="-20"/>
                <w:sz w:val="21"/>
                <w:szCs w:val="21"/>
              </w:rPr>
            </w:pPr>
            <w:r>
              <w:rPr>
                <w:rFonts w:hint="eastAsia" w:ascii="仿宋_GB2312" w:hAnsi="仿宋_GB2312" w:eastAsia="仿宋_GB2312" w:cs="仿宋_GB2312"/>
                <w:spacing w:val="-20"/>
                <w:sz w:val="21"/>
                <w:szCs w:val="21"/>
              </w:rPr>
              <w:t>人数</w:t>
            </w:r>
          </w:p>
        </w:tc>
        <w:tc>
          <w:tcPr>
            <w:tcW w:w="5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1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物资名称</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及规格</w:t>
            </w:r>
          </w:p>
        </w:tc>
        <w:tc>
          <w:tcPr>
            <w:tcW w:w="7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包装</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方式</w:t>
            </w:r>
          </w:p>
        </w:tc>
        <w:tc>
          <w:tcPr>
            <w:tcW w:w="110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体积：长×宽×高（米）</w:t>
            </w:r>
          </w:p>
        </w:tc>
        <w:tc>
          <w:tcPr>
            <w:tcW w:w="6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件数</w:t>
            </w:r>
          </w:p>
        </w:tc>
        <w:tc>
          <w:tcPr>
            <w:tcW w:w="98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价值</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（元）</w:t>
            </w:r>
          </w:p>
        </w:tc>
        <w:tc>
          <w:tcPr>
            <w:tcW w:w="10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实际重量</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（千克）</w:t>
            </w:r>
          </w:p>
        </w:tc>
        <w:tc>
          <w:tcPr>
            <w:tcW w:w="9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计费重量</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（千克）</w:t>
            </w:r>
          </w:p>
        </w:tc>
        <w:tc>
          <w:tcPr>
            <w:tcW w:w="10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计费里程</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（公里）</w:t>
            </w:r>
          </w:p>
        </w:tc>
        <w:tc>
          <w:tcPr>
            <w:tcW w:w="10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货运周转量</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pacing w:val="-20"/>
                <w:sz w:val="21"/>
                <w:szCs w:val="21"/>
              </w:rPr>
            </w:pPr>
            <w:r>
              <w:rPr>
                <w:rFonts w:hint="eastAsia" w:ascii="仿宋_GB2312" w:hAnsi="仿宋_GB2312" w:eastAsia="仿宋_GB2312" w:cs="仿宋_GB2312"/>
                <w:color w:val="000000"/>
                <w:spacing w:val="-20"/>
                <w:sz w:val="21"/>
                <w:szCs w:val="21"/>
              </w:rPr>
              <w:t>（吨公里）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1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10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98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9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11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lang w:eastAsia="zh-CN"/>
              </w:rPr>
            </w:pPr>
            <w:r>
              <w:rPr>
                <w:rFonts w:hint="eastAsia" w:cs="仿宋_GB2312"/>
                <w:color w:val="000000"/>
                <w:sz w:val="21"/>
                <w:szCs w:val="21"/>
                <w:lang w:eastAsia="zh-CN"/>
              </w:rPr>
              <w:t>……</w:t>
            </w:r>
          </w:p>
        </w:tc>
        <w:tc>
          <w:tcPr>
            <w:tcW w:w="7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10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98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9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84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合计</w:t>
            </w:r>
          </w:p>
        </w:tc>
        <w:tc>
          <w:tcPr>
            <w:tcW w:w="110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6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98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40"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97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c>
          <w:tcPr>
            <w:tcW w:w="108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3" w:hRule="atLeast"/>
        </w:trPr>
        <w:tc>
          <w:tcPr>
            <w:tcW w:w="705" w:type="dxa"/>
            <w:tcBorders>
              <w:top w:val="single" w:color="auto" w:sz="4" w:space="0"/>
              <w:left w:val="single" w:color="auto" w:sz="4" w:space="0"/>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计费</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单位</w:t>
            </w:r>
          </w:p>
        </w:tc>
        <w:tc>
          <w:tcPr>
            <w:tcW w:w="7943" w:type="dxa"/>
            <w:gridSpan w:val="1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320" w:leftChars="100"/>
              <w:jc w:val="both"/>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□重量（千克）      □体积（立方米）  □包装（件）</w:t>
            </w:r>
          </w:p>
          <w:p>
            <w:pPr>
              <w:keepNext w:val="0"/>
              <w:keepLines w:val="0"/>
              <w:pageBreakBefore w:val="0"/>
              <w:widowControl w:val="0"/>
              <w:kinsoku/>
              <w:wordWrap/>
              <w:overflowPunct/>
              <w:topLinePunct w:val="0"/>
              <w:autoSpaceDE/>
              <w:autoSpaceDN/>
              <w:bidi w:val="0"/>
              <w:adjustRightInd/>
              <w:snapToGrid/>
              <w:spacing w:line="300" w:lineRule="exact"/>
              <w:ind w:left="320" w:leftChars="100"/>
              <w:textAlignment w:val="auto"/>
              <w:rPr>
                <w:rFonts w:hint="eastAsia" w:ascii="仿宋_GB2312" w:hAnsi="仿宋_GB2312" w:eastAsia="仿宋_GB2312" w:cs="仿宋_GB2312"/>
                <w:color w:val="000000"/>
                <w:sz w:val="21"/>
                <w:szCs w:val="21"/>
                <w:u w:val="single"/>
              </w:rPr>
            </w:pPr>
            <w:r>
              <w:rPr>
                <w:rFonts w:hint="eastAsia" w:ascii="仿宋_GB2312" w:hAnsi="仿宋_GB2312" w:eastAsia="仿宋_GB2312" w:cs="仿宋_GB2312"/>
                <w:color w:val="000000"/>
                <w:sz w:val="21"/>
                <w:szCs w:val="21"/>
              </w:rPr>
              <w:t>□周转量（吨公里）  □里程            □</w:t>
            </w:r>
            <w:r>
              <w:rPr>
                <w:rFonts w:hint="eastAsia" w:ascii="仿宋_GB2312" w:hAnsi="仿宋_GB2312" w:eastAsia="仿宋_GB2312" w:cs="仿宋_GB2312"/>
                <w:color w:val="000000"/>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5" w:type="dxa"/>
            <w:tcBorders>
              <w:top w:val="single" w:color="auto" w:sz="4" w:space="0"/>
              <w:left w:val="single" w:color="auto" w:sz="4" w:space="0"/>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计费</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单价</w:t>
            </w:r>
          </w:p>
        </w:tc>
        <w:tc>
          <w:tcPr>
            <w:tcW w:w="2870" w:type="dxa"/>
            <w:gridSpan w:val="7"/>
            <w:tcBorders>
              <w:top w:val="single" w:color="auto" w:sz="4" w:space="0"/>
              <w:left w:val="single" w:color="auto" w:sz="4" w:space="0"/>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xml:space="preserve"> </w:t>
            </w:r>
            <w:r>
              <w:rPr>
                <w:rFonts w:hint="eastAsia" w:ascii="仿宋_GB2312" w:hAnsi="仿宋_GB2312" w:eastAsia="仿宋_GB2312" w:cs="仿宋_GB2312"/>
                <w:color w:val="000000"/>
                <w:sz w:val="21"/>
                <w:szCs w:val="21"/>
                <w:u w:val="single"/>
              </w:rPr>
              <w:t xml:space="preserve">    </w:t>
            </w:r>
            <w:r>
              <w:rPr>
                <w:rFonts w:hint="eastAsia" w:cs="仿宋_GB2312"/>
                <w:color w:val="000000"/>
                <w:sz w:val="21"/>
                <w:szCs w:val="21"/>
                <w:u w:val="single"/>
                <w:lang w:val="en-US" w:eastAsia="zh-CN"/>
              </w:rPr>
              <w:t xml:space="preserve">      </w:t>
            </w:r>
            <w:r>
              <w:rPr>
                <w:rFonts w:hint="eastAsia" w:ascii="仿宋_GB2312" w:hAnsi="仿宋_GB2312" w:eastAsia="仿宋_GB2312" w:cs="仿宋_GB2312"/>
                <w:color w:val="000000"/>
                <w:sz w:val="21"/>
                <w:szCs w:val="21"/>
                <w:u w:val="single"/>
              </w:rPr>
              <w:t xml:space="preserve"> </w:t>
            </w:r>
            <w:r>
              <w:rPr>
                <w:rFonts w:hint="eastAsia" w:ascii="仿宋_GB2312" w:hAnsi="仿宋_GB2312" w:eastAsia="仿宋_GB2312" w:cs="仿宋_GB2312"/>
                <w:color w:val="000000"/>
                <w:sz w:val="21"/>
                <w:szCs w:val="21"/>
              </w:rPr>
              <w:t>元∕每单位</w:t>
            </w:r>
          </w:p>
        </w:tc>
        <w:tc>
          <w:tcPr>
            <w:tcW w:w="1674" w:type="dxa"/>
            <w:gridSpan w:val="4"/>
            <w:tcBorders>
              <w:top w:val="single" w:color="auto" w:sz="4" w:space="0"/>
              <w:left w:val="single" w:color="auto" w:sz="4" w:space="0"/>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210" w:firstLineChars="100"/>
              <w:jc w:val="center"/>
              <w:textAlignment w:val="auto"/>
              <w:rPr>
                <w:rFonts w:hint="eastAsia" w:ascii="仿宋_GB2312" w:hAnsi="仿宋_GB2312" w:eastAsia="仿宋_GB2312" w:cs="仿宋_GB2312"/>
                <w:color w:val="000000"/>
                <w:sz w:val="21"/>
                <w:szCs w:val="21"/>
                <w:lang w:eastAsia="zh-CN"/>
              </w:rPr>
            </w:pPr>
            <w:r>
              <w:rPr>
                <w:rFonts w:hint="eastAsia" w:cs="仿宋_GB2312"/>
                <w:color w:val="000000"/>
                <w:sz w:val="21"/>
                <w:szCs w:val="21"/>
                <w:lang w:eastAsia="zh-CN"/>
              </w:rPr>
              <w:t>小计</w:t>
            </w:r>
          </w:p>
        </w:tc>
        <w:tc>
          <w:tcPr>
            <w:tcW w:w="3399"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 xml:space="preserve">    </w:t>
            </w:r>
            <w:r>
              <w:rPr>
                <w:rFonts w:hint="eastAsia" w:ascii="仿宋_GB2312" w:hAnsi="仿宋_GB2312" w:eastAsia="仿宋_GB2312" w:cs="仿宋_GB2312"/>
                <w:color w:val="000000"/>
                <w:sz w:val="21"/>
                <w:szCs w:val="21"/>
                <w:u w:val="single"/>
              </w:rPr>
              <w:t xml:space="preserve">         </w:t>
            </w:r>
            <w:r>
              <w:rPr>
                <w:rFonts w:hint="eastAsia" w:ascii="仿宋_GB2312" w:hAnsi="仿宋_GB2312" w:eastAsia="仿宋_GB2312" w:cs="仿宋_GB2312"/>
                <w:color w:val="000000"/>
                <w:sz w:val="21"/>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648" w:type="dxa"/>
            <w:gridSpan w:val="2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color w:val="000000"/>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adjustRightInd w:val="0"/>
        <w:spacing w:before="120" w:beforeLines="50" w:after="0" w:line="530" w:lineRule="exact"/>
        <w:ind w:firstLine="560" w:firstLineChars="200"/>
        <w:rPr>
          <w:rFonts w:hint="default" w:ascii="仿宋" w:hAnsi="仿宋"/>
          <w:sz w:val="28"/>
          <w:szCs w:val="28"/>
          <w:u w:val="single"/>
          <w:lang w:val="en-US" w:eastAsia="zh-CN"/>
        </w:rPr>
      </w:pPr>
      <w:r>
        <w:rPr>
          <w:rFonts w:hint="eastAsia" w:ascii="仿宋" w:hAnsi="仿宋"/>
          <w:sz w:val="28"/>
          <w:szCs w:val="28"/>
          <w:lang w:eastAsia="zh-CN"/>
        </w:rPr>
        <w:t>（一）物资装卸搬运有关要求：</w:t>
      </w:r>
      <w:r>
        <w:rPr>
          <w:rFonts w:hint="eastAsia" w:ascii="仿宋" w:hAnsi="仿宋"/>
          <w:sz w:val="28"/>
          <w:szCs w:val="28"/>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val="0"/>
        <w:snapToGrid/>
        <w:spacing w:after="0" w:line="530" w:lineRule="exact"/>
        <w:ind w:firstLine="560" w:firstLineChars="200"/>
        <w:textAlignment w:val="auto"/>
        <w:rPr>
          <w:rFonts w:ascii="仿宋" w:hAnsi="仿宋" w:eastAsia="仿宋_GB2312"/>
          <w:sz w:val="28"/>
          <w:szCs w:val="28"/>
        </w:rPr>
      </w:pPr>
      <w:r>
        <w:rPr>
          <w:rFonts w:hint="eastAsia" w:ascii="仿宋" w:hAnsi="仿宋"/>
          <w:sz w:val="28"/>
          <w:szCs w:val="28"/>
          <w:lang w:eastAsia="zh-CN"/>
        </w:rPr>
        <w:t>（二）</w:t>
      </w:r>
      <w:r>
        <w:rPr>
          <w:rFonts w:hint="eastAsia" w:ascii="仿宋" w:hAnsi="仿宋" w:eastAsia="仿宋_GB2312"/>
          <w:sz w:val="28"/>
          <w:szCs w:val="28"/>
        </w:rPr>
        <w:t>其他杂费，包括但不限于装卸费、过路费、过桥费，应当由乙方承担。</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178"/>
      <w:r>
        <w:rPr>
          <w:rFonts w:hint="eastAsia" w:ascii="黑体" w:hAnsi="黑体"/>
          <w:b w:val="0"/>
          <w:bCs w:val="0"/>
        </w:rPr>
        <w:t>应用场景</w:t>
      </w:r>
      <w:bookmarkEnd w:id="0"/>
      <w:r>
        <w:rPr>
          <w:rFonts w:hint="eastAsia" w:ascii="黑体" w:hAnsi="黑体"/>
          <w:b w:val="0"/>
          <w:bCs w:val="0"/>
        </w:rPr>
        <w:t>、</w:t>
      </w:r>
      <w:bookmarkStart w:id="1" w:name="_Hlk129351232"/>
      <w:r>
        <w:rPr>
          <w:rFonts w:hint="eastAsia" w:ascii="黑体" w:hAnsi="黑体"/>
          <w:b w:val="0"/>
          <w:bCs w:val="0"/>
        </w:rPr>
        <w:t>服务内容和标准</w:t>
      </w:r>
      <w:bookmarkEnd w:id="1"/>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□（一）合同的应用场景：</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（二）服务实施的内容：</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（三）服务标准：</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p>
    <w:p>
      <w:pPr>
        <w:adjustRightInd w:val="0"/>
        <w:spacing w:after="120" w:afterLines="50" w:line="530" w:lineRule="exact"/>
        <w:ind w:firstLine="560" w:firstLineChars="200"/>
        <w:rPr>
          <w:rFonts w:ascii="黑体" w:hAnsi="黑体" w:eastAsia="黑体" w:cs="黑体"/>
          <w:bCs/>
          <w:sz w:val="28"/>
          <w:szCs w:val="28"/>
        </w:rPr>
      </w:pPr>
      <w:r>
        <w:rPr>
          <w:rFonts w:hint="eastAsia" w:ascii="黑体" w:hAnsi="黑体" w:eastAsia="黑体" w:cs="黑体"/>
          <w:bCs/>
          <w:sz w:val="28"/>
          <w:szCs w:val="28"/>
        </w:rPr>
        <w:t>□五、</w:t>
      </w:r>
      <w:bookmarkStart w:id="2" w:name="_Hlk129352073"/>
      <w:r>
        <w:rPr>
          <w:rFonts w:hint="eastAsia" w:ascii="黑体" w:hAnsi="黑体" w:eastAsia="黑体" w:cs="黑体"/>
          <w:bCs/>
          <w:sz w:val="28"/>
          <w:szCs w:val="28"/>
        </w:rPr>
        <w:t>服务实施分期考核内容及标准</w:t>
      </w:r>
      <w:bookmarkEnd w:id="2"/>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w:t>
            </w:r>
          </w:p>
        </w:tc>
        <w:tc>
          <w:tcPr>
            <w:tcW w:w="208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506"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2300"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c>
          <w:tcPr>
            <w:tcW w:w="939" w:type="dxa"/>
            <w:vAlign w:val="center"/>
          </w:tcPr>
          <w:p>
            <w:pPr>
              <w:adjustRightInd w:val="0"/>
              <w:snapToGrid w:val="0"/>
              <w:spacing w:line="340" w:lineRule="exact"/>
              <w:jc w:val="center"/>
              <w:rPr>
                <w:rFonts w:hint="eastAsia" w:ascii="仿宋_GB2312" w:hAnsi="仿宋_GB2312" w:eastAsia="仿宋_GB2312" w:cs="仿宋_GB2312"/>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六、履约验收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w:t>
      </w:r>
      <w:bookmarkStart w:id="3" w:name="_Hlk129347058"/>
      <w:r>
        <w:rPr>
          <w:rFonts w:hint="eastAsia" w:ascii="仿宋" w:hAnsi="仿宋" w:eastAsia="仿宋_GB2312"/>
          <w:bCs/>
          <w:sz w:val="28"/>
          <w:szCs w:val="28"/>
        </w:rPr>
        <w:t>服务</w:t>
      </w:r>
      <w:bookmarkEnd w:id="3"/>
      <w:r>
        <w:rPr>
          <w:rFonts w:hint="eastAsia" w:ascii="仿宋" w:hAnsi="仿宋" w:eastAsia="仿宋_GB2312"/>
          <w:bCs/>
          <w:sz w:val="28"/>
          <w:szCs w:val="28"/>
        </w:rPr>
        <w:t>分期考核验收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1.甲方按合同约定的分期考核内容、标准对乙方实施的服务进行验收。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2.合同约定的分期考核内容包括日常督导考核、岗位督查、专项检查、特殊部位或者场所检查、满意度调查、合同履约综合评价等。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（1）日常督导考核。甲方按考核标准对乙方实施的服务进行日常巡查，发现问题告知乙方，并做好督查记录。甲方根据乙方改进情况和问题的严重程度，按考核标准对乙方进行处理。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（2）岗位督查。甲方按考核标准检查乙方服务人员到岗情况，发现缺岗的，甲方按考核标准对乙方进行处理。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（3）专项检查。甲方针对服务的重点、难点问题或管理要求进行专项检查，双方共同记录。乙方对甲方在专项检查中发现问题，应当予以整改。乙方问题多次出现或整改不力的，甲方按考核标准进行处理。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（6）合同履约综合评价：甲方按合同约定的考核时间对乙方合同履</w:t>
      </w:r>
      <w:r>
        <w:rPr>
          <w:rFonts w:hint="eastAsia" w:ascii="仿宋" w:hAnsi="仿宋" w:eastAsia="仿宋_GB2312"/>
          <w:bCs/>
          <w:sz w:val="28"/>
          <w:szCs w:val="28"/>
        </w:rPr>
        <w:t>行情况进行综合评价，综合评价可作为款项支付以及续签合同的依据。</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w:t>
      </w:r>
      <w:r>
        <w:rPr>
          <w:rFonts w:hint="eastAsia" w:ascii="仿宋" w:hAnsi="仿宋" w:eastAsia="仿宋_GB2312"/>
          <w:bCs/>
          <w:sz w:val="28"/>
          <w:szCs w:val="28"/>
        </w:rPr>
        <w:t>服务分期考核内容、标准：</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w:t>
      </w:r>
      <w:r>
        <w:rPr>
          <w:rFonts w:hint="eastAsia" w:ascii="仿宋" w:hAnsi="仿宋" w:eastAsia="仿宋_GB2312"/>
          <w:bCs/>
          <w:sz w:val="28"/>
          <w:szCs w:val="28"/>
        </w:rPr>
        <w:t>服务分期考核验收的其他要求：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w:t>
      </w:r>
      <w:r>
        <w:rPr>
          <w:rFonts w:hint="eastAsia" w:ascii="仿宋" w:hAnsi="仿宋" w:eastAsia="仿宋_GB2312"/>
          <w:bCs/>
          <w:sz w:val="28"/>
          <w:szCs w:val="28"/>
        </w:rPr>
        <w:t>考核的其他要求：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u w:val="single"/>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七、运输服务团队和设备要求</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（一）基本要求</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1.</w:t>
      </w:r>
      <w:r>
        <w:rPr>
          <w:rFonts w:ascii="仿宋" w:hAnsi="仿宋" w:eastAsia="仿宋_GB2312"/>
          <w:bCs/>
          <w:sz w:val="28"/>
          <w:szCs w:val="28"/>
        </w:rPr>
        <w:t>总体性要求：</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根据甲方单位工作性质提出总体服务（范围、内容）目标及要求</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2.</w:t>
      </w:r>
      <w:r>
        <w:rPr>
          <w:rFonts w:ascii="仿宋" w:hAnsi="仿宋" w:eastAsia="仿宋_GB2312"/>
          <w:bCs/>
          <w:sz w:val="28"/>
          <w:szCs w:val="28"/>
        </w:rPr>
        <w:t>服务人员要求：本项目配备的司机人数不少于</w:t>
      </w:r>
      <w:r>
        <w:rPr>
          <w:rFonts w:ascii="仿宋" w:hAnsi="仿宋" w:eastAsia="仿宋_GB2312"/>
          <w:bCs/>
          <w:sz w:val="28"/>
          <w:szCs w:val="28"/>
          <w:u w:val="single"/>
        </w:rPr>
        <w:t xml:space="preserve">    </w:t>
      </w:r>
      <w:r>
        <w:rPr>
          <w:rFonts w:ascii="仿宋" w:hAnsi="仿宋" w:eastAsia="仿宋_GB2312"/>
          <w:bCs/>
          <w:sz w:val="28"/>
          <w:szCs w:val="28"/>
        </w:rPr>
        <w:t>人。随行管理人员的要求：提供本项目管理团队及其它主要专业人员名单。</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3.</w:t>
      </w:r>
      <w:r>
        <w:rPr>
          <w:rFonts w:ascii="仿宋" w:hAnsi="仿宋" w:eastAsia="仿宋_GB2312"/>
          <w:bCs/>
          <w:sz w:val="28"/>
          <w:szCs w:val="28"/>
        </w:rPr>
        <w:t>保密工作要求</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对运输工作中可能涉及的保密工作提出总体性要求</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4.其</w:t>
      </w:r>
      <w:r>
        <w:rPr>
          <w:rFonts w:ascii="仿宋" w:hAnsi="仿宋" w:eastAsia="仿宋_GB2312"/>
          <w:bCs/>
          <w:sz w:val="28"/>
          <w:szCs w:val="28"/>
        </w:rPr>
        <w:t>他：</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w:t>
      </w:r>
      <w:r>
        <w:rPr>
          <w:rFonts w:ascii="楷体" w:hAnsi="楷体" w:eastAsia="楷体_GB2312"/>
          <w:bCs/>
          <w:sz w:val="24"/>
          <w:szCs w:val="28"/>
        </w:rPr>
        <w:t>上述各项要求之外，根据项目特点提出的其他要求</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□（二）运输设施设备</w:t>
      </w:r>
    </w:p>
    <w:p>
      <w:pPr>
        <w:pStyle w:val="2"/>
        <w:spacing w:afterLines="50" w:line="530" w:lineRule="exact"/>
        <w:ind w:firstLine="560" w:firstLineChars="200"/>
        <w:rPr>
          <w:rFonts w:ascii="仿宋" w:hAnsi="仿宋" w:eastAsia="仿宋"/>
          <w:bCs/>
          <w:sz w:val="28"/>
          <w:szCs w:val="28"/>
        </w:rPr>
      </w:pPr>
      <w:r>
        <w:rPr>
          <w:rFonts w:hint="eastAsia" w:ascii="仿宋" w:hAnsi="仿宋" w:eastAsia="仿宋_GB2312"/>
          <w:bCs/>
          <w:sz w:val="28"/>
          <w:szCs w:val="28"/>
        </w:rPr>
        <w:t>主要运输设备情况</w:t>
      </w:r>
    </w:p>
    <w:tbl>
      <w:tblPr>
        <w:tblStyle w:val="12"/>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811"/>
        <w:gridCol w:w="1057"/>
        <w:gridCol w:w="906"/>
        <w:gridCol w:w="905"/>
        <w:gridCol w:w="1057"/>
        <w:gridCol w:w="1369"/>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序号</w:t>
            </w:r>
          </w:p>
        </w:tc>
        <w:tc>
          <w:tcPr>
            <w:tcW w:w="1811"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运输设备名称</w:t>
            </w:r>
          </w:p>
        </w:tc>
        <w:tc>
          <w:tcPr>
            <w:tcW w:w="1057"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数量</w:t>
            </w:r>
          </w:p>
        </w:tc>
        <w:tc>
          <w:tcPr>
            <w:tcW w:w="906"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品牌</w:t>
            </w:r>
          </w:p>
        </w:tc>
        <w:tc>
          <w:tcPr>
            <w:tcW w:w="90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车型</w:t>
            </w:r>
          </w:p>
        </w:tc>
        <w:tc>
          <w:tcPr>
            <w:tcW w:w="1057"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车牌号</w:t>
            </w:r>
          </w:p>
        </w:tc>
        <w:tc>
          <w:tcPr>
            <w:tcW w:w="1369" w:type="dxa"/>
            <w:vAlign w:val="center"/>
          </w:tcPr>
          <w:p>
            <w:pPr>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运输证号</w:t>
            </w:r>
          </w:p>
        </w:tc>
        <w:tc>
          <w:tcPr>
            <w:tcW w:w="97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1</w:t>
            </w:r>
          </w:p>
        </w:tc>
        <w:tc>
          <w:tcPr>
            <w:tcW w:w="1811"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1057"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06"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0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1057"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1369"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7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lang w:eastAsia="zh-CN"/>
              </w:rPr>
            </w:pPr>
            <w:r>
              <w:rPr>
                <w:rFonts w:hint="eastAsia" w:cs="仿宋_GB2312"/>
                <w:color w:val="000000"/>
                <w:sz w:val="21"/>
                <w:szCs w:val="21"/>
                <w:lang w:eastAsia="zh-CN"/>
              </w:rPr>
              <w:t>……</w:t>
            </w:r>
          </w:p>
        </w:tc>
        <w:tc>
          <w:tcPr>
            <w:tcW w:w="1811"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1057"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06"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0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1057"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1369"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c>
          <w:tcPr>
            <w:tcW w:w="975" w:type="dxa"/>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八、运输服务管理要求</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（一）甲方有运输任务时提前</w:t>
      </w:r>
      <w:r>
        <w:rPr>
          <w:rFonts w:hint="eastAsia" w:ascii="仿宋" w:hAnsi="仿宋"/>
          <w:bCs/>
          <w:sz w:val="28"/>
          <w:szCs w:val="28"/>
          <w:u w:val="single"/>
          <w:lang w:val="en-US" w:eastAsia="zh-CN"/>
        </w:rPr>
        <w:t xml:space="preserve">    </w:t>
      </w:r>
      <w:r>
        <w:rPr>
          <w:rFonts w:ascii="仿宋" w:hAnsi="仿宋" w:eastAsia="仿宋_GB2312"/>
          <w:bCs/>
          <w:sz w:val="28"/>
          <w:szCs w:val="28"/>
        </w:rPr>
        <w:t>日（小时）通知乙方指定的联系人确认运输委托内容，包括要求车辆到达甲方装货时间和地点，要求承运的物资数量，建议使用的车型、卸货城市具体地址等。</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乙方接到甲方发货任务通知时起，必须在</w:t>
      </w:r>
      <w:r>
        <w:rPr>
          <w:rFonts w:hint="eastAsia" w:ascii="仿宋" w:hAnsi="仿宋"/>
          <w:bCs/>
          <w:sz w:val="28"/>
          <w:szCs w:val="28"/>
          <w:u w:val="single"/>
          <w:lang w:val="en-US" w:eastAsia="zh-CN"/>
        </w:rPr>
        <w:t xml:space="preserve">    </w:t>
      </w:r>
      <w:r>
        <w:rPr>
          <w:rFonts w:ascii="仿宋" w:hAnsi="仿宋" w:eastAsia="仿宋_GB2312"/>
          <w:bCs/>
          <w:sz w:val="28"/>
          <w:szCs w:val="28"/>
        </w:rPr>
        <w:t>小时内给予答复并明确告知车辆号码、司机姓名、电话等，并保证车辆按时到厂装车。</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提供的运输车辆必须符合甲方的装载要求，包括但不限于：车况良好，车辆运用凭证齐全。货厢内壁无凹凸不平之处，无水渍、油渍，干燥清洁、无渗漏、无毒、无异味及其他污染物，敞车必须配备蓬布、绳索及捆绑用的木板等保护材料，</w:t>
      </w:r>
      <w:r>
        <w:rPr>
          <w:rFonts w:ascii="仿宋" w:hAnsi="仿宋" w:eastAsia="仿宋_GB2312"/>
          <w:bCs/>
          <w:sz w:val="28"/>
          <w:szCs w:val="28"/>
          <w:u w:val="single"/>
        </w:rPr>
        <w:t xml:space="preserve">        </w:t>
      </w:r>
      <w:r>
        <w:rPr>
          <w:rFonts w:ascii="仿宋" w:hAnsi="仿宋" w:eastAsia="仿宋_GB2312"/>
          <w:bCs/>
          <w:sz w:val="28"/>
          <w:szCs w:val="28"/>
        </w:rPr>
        <w:t>。</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（三）装货、卸货现场，乙方必须听从现场人员的指挥，遵守现场各项规章制度，衣着整洁。不得在现场追逐、打闹、大声喧哗、随地吐痰、乱扔垃圾。不得擅自进入作业现场之外的其他区域。</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到达甲方指定提货地点时，司机或提货人员必须携带有效证件，经过甲方许可后驶入指定区域等待装车，乙方须对所承运的物资做好清点工作，并按甲方要求办理签收及发货手续，双方办理完发货手续后，物资的数量和安全以及完好性有出入的，均由乙方承担所有损失。</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（五）自甲方物资装上乙方指派车辆后，其物资保管之责随之转到乙方，乙方在运输途中发生物资丢失或损毁、污染、被雨淋湿或受潮或整车被盗等情形，导致物资损毁、灭失均由乙方承担赔偿责任。</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（六）乙方承运甲方物资时，应当在甲方指定的时间内安全送达甲方指定的收货地，乙方单方面延迟承运时间等原因造成收货人拒收或退货，造成甲方的损失均由乙方承担。</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（七）货到收货地点，如发生找不到收货人或者收货人拒收等异常情况时，乙方应当及时联系甲方解决，不得擅自卸货或将物资拉回甲方，由此而产生的运输等费用由乙方承担。</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（八）甲方有权决定物资是否保险或保价。物资保险由甲方向保险公司投保或委托乙方代办。选择保价运输时，申报的物资价值不得超过物资本身的实际价值；保价为全程保价，保价费按不超过物资保价金额的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w:t>
      </w:r>
      <w:r>
        <w:rPr>
          <w:rFonts w:ascii="仿宋" w:hAnsi="仿宋" w:eastAsia="仿宋_GB2312"/>
          <w:bCs/>
          <w:sz w:val="28"/>
          <w:szCs w:val="28"/>
        </w:rPr>
        <w:t>收取。</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（九）物资运输中，需要办理审批、检验手续的，甲方可以将办理完有关手续的文件提交乙方并随货同行。甲方委托乙方向收货人代递有关文件时，应当在运单中注明文件名称和份数。</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（十）起运前运输路线发生变化乙方应当通知甲方，并按最后确定的路线运输。乙方未按约定路线运输而增加的运输费用自行承担。</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（十一）物资交接时，一方对物资的重量和内容有质疑，可提出查验与复磅，查验和复磅的费用由责任方负担。</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（十二）在乙方将物资交付收货人之前，甲方可以要求乙方中止运输、返还物资、变更到达地或者将物资交给其他收货人，但应当赔偿乙方因此受到的损失。</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三）物资运输途中，因第三方责任造成物资毁损或灭失的，乙方应当先行向甲方赔偿，再由其向第三方追偿。物资已投保的，乙方应当不迟延地通知甲方，并采取一切合理措施协助甲方获得赔付。若乙方怠于履行通知义务和协助义务，应当赔偿甲方因此受到的损失。</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（十四）货运事故处理过程中，乙方应当采取有效措施暂时保管物资并按甲方要求处理。</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（十五）甲方发货清单为一式五份，经双方清点物资数目签字确认无误后，甲方留存一份，乙方所执四份物资清单，一份交收货人作为收货凭证。其余三份交收货人签字</w:t>
      </w:r>
      <w:r>
        <w:rPr>
          <w:rFonts w:ascii="仿宋" w:hAnsi="仿宋" w:eastAsia="仿宋_GB2312"/>
          <w:bCs/>
          <w:sz w:val="28"/>
          <w:szCs w:val="28"/>
        </w:rPr>
        <w:t>/盖章后返回甲方，作为有效运输结算凭证。</w:t>
      </w:r>
    </w:p>
    <w:p>
      <w:pPr>
        <w:pStyle w:val="2"/>
        <w:spacing w:after="0" w:line="530" w:lineRule="exact"/>
        <w:ind w:firstLine="560" w:firstLineChars="200"/>
      </w:pPr>
      <w:r>
        <w:rPr>
          <w:rFonts w:hint="eastAsia" w:ascii="仿宋" w:hAnsi="仿宋" w:eastAsia="仿宋_GB2312"/>
          <w:bCs/>
          <w:sz w:val="28"/>
          <w:szCs w:val="28"/>
        </w:rPr>
        <w:t>（十六）其他要求：</w:t>
      </w:r>
      <w:r>
        <w:rPr>
          <w:rFonts w:hint="eastAsia" w:cs="仿宋_GB2312"/>
          <w:bCs/>
          <w:sz w:val="28"/>
          <w:szCs w:val="28"/>
          <w:u w:val="single"/>
          <w:lang w:val="en-US" w:eastAsia="zh-CN"/>
        </w:rPr>
        <w:t xml:space="preserve">                         </w:t>
      </w:r>
      <w: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w:t>
      </w:r>
      <w:r>
        <w:rPr>
          <w:rFonts w:hint="eastAsia" w:ascii="黑体" w:hAnsi="黑体"/>
          <w:b w:val="0"/>
          <w:bCs w:val="0"/>
          <w:lang w:eastAsia="zh-CN"/>
        </w:rPr>
        <w:t>九</w:t>
      </w:r>
      <w:r>
        <w:rPr>
          <w:rFonts w:hint="eastAsia" w:ascii="黑体" w:hAnsi="黑体"/>
          <w:b w:val="0"/>
          <w:bCs w:val="0"/>
        </w:rPr>
        <w:t>、保密要求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□十、履约保证金</w:t>
      </w:r>
      <w:r>
        <w:rPr>
          <w:rFonts w:hint="eastAsia" w:ascii="楷体" w:hAnsi="楷体" w:eastAsia="楷体_GB2312" w:cs="楷体_GB2312"/>
          <w:b w:val="0"/>
          <w:sz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十二、资金结算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cs="仿宋_GB2312"/>
          <w:bCs/>
          <w:sz w:val="28"/>
          <w:szCs w:val="28"/>
          <w:lang w:eastAsia="zh-CN"/>
        </w:rPr>
        <w:t>本合同无</w:t>
      </w:r>
      <w:r>
        <w:rPr>
          <w:rFonts w:hint="eastAsia" w:ascii="仿宋_GB2312" w:hAnsi="仿宋_GB2312" w:eastAsia="仿宋_GB2312" w:cs="仿宋_GB2312"/>
          <w:bCs/>
          <w:sz w:val="28"/>
          <w:szCs w:val="28"/>
          <w:lang w:val="zh-CN"/>
        </w:rPr>
        <w:t>预付款，服务完成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后，乙方收集发票、验收报告等</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，提交</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办理结算手续，</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_GB2312" w:hAnsi="仿宋_GB2312" w:eastAsia="仿宋_GB2312" w:cs="仿宋_GB2312"/>
          <w:bCs/>
          <w:sz w:val="28"/>
          <w:szCs w:val="28"/>
          <w:u w:val="single"/>
          <w:lang w:val="zh-CN"/>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lang w:val="zh-CN"/>
        </w:rPr>
        <w:t>日内向乙方支付</w:t>
      </w:r>
      <w:r>
        <w:rPr>
          <w:rFonts w:hint="eastAsia" w:cs="仿宋_GB2312"/>
          <w:bCs/>
          <w:sz w:val="28"/>
          <w:szCs w:val="28"/>
          <w:lang w:val="zh-CN"/>
        </w:rPr>
        <w:t>全部合同款项，即</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w:t>
      </w:r>
      <w:r>
        <w:rPr>
          <w:rFonts w:hint="eastAsia" w:ascii="楷体_GB2312" w:hAnsi="楷体_GB2312" w:eastAsia="楷体_GB2312" w:cs="楷体_GB2312"/>
          <w:bCs/>
          <w:sz w:val="24"/>
          <w:szCs w:val="24"/>
        </w:rPr>
        <w:t>（适用于采购金额小履约周期短的采购项目）</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lang w:val="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zh-CN"/>
        </w:rPr>
        <w:t>合同签订后</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日内</w:t>
      </w:r>
      <w:r>
        <w:rPr>
          <w:rFonts w:hint="eastAsia" w:ascii="仿宋" w:hAnsi="仿宋"/>
          <w:bCs/>
          <w:sz w:val="28"/>
          <w:szCs w:val="28"/>
          <w:lang w:val="zh-CN"/>
        </w:rPr>
        <w:t>，甲方预付合同金额的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lang w:val="zh-CN"/>
        </w:rPr>
        <w:t>，即</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u w:val="none"/>
        </w:rPr>
        <w:t>（</w:t>
      </w:r>
      <w:r>
        <w:rPr>
          <w:rFonts w:hint="eastAsia" w:ascii="楷体_GB2312" w:hAnsi="楷体_GB2312" w:eastAsia="楷体_GB2312" w:cs="楷体_GB2312"/>
          <w:bCs/>
          <w:sz w:val="24"/>
          <w:szCs w:val="24"/>
          <w:u w:val="none"/>
          <w:lang w:eastAsia="zh-CN"/>
        </w:rPr>
        <w:t>不得</w:t>
      </w:r>
      <w:r>
        <w:rPr>
          <w:rFonts w:hint="eastAsia" w:ascii="楷体_GB2312" w:hAnsi="楷体_GB2312" w:eastAsia="楷体_GB2312" w:cs="楷体_GB2312"/>
          <w:bCs/>
          <w:sz w:val="24"/>
          <w:szCs w:val="24"/>
          <w:u w:val="none"/>
        </w:rPr>
        <w:t>超过</w:t>
      </w:r>
      <w:r>
        <w:rPr>
          <w:rFonts w:hint="eastAsia" w:ascii="楷体_GB2312" w:hAnsi="楷体_GB2312" w:eastAsia="楷体_GB2312" w:cs="楷体_GB2312"/>
          <w:bCs/>
          <w:sz w:val="24"/>
          <w:szCs w:val="24"/>
          <w:u w:val="none"/>
          <w:lang w:eastAsia="zh-CN"/>
        </w:rPr>
        <w:t>合同金额的</w:t>
      </w:r>
      <w:r>
        <w:rPr>
          <w:rFonts w:hint="eastAsia" w:ascii="楷体_GB2312" w:hAnsi="楷体_GB2312" w:eastAsia="楷体_GB2312" w:cs="楷体_GB2312"/>
          <w:bCs/>
          <w:sz w:val="24"/>
          <w:szCs w:val="24"/>
          <w:u w:val="none"/>
        </w:rPr>
        <w:t>30%）</w:t>
      </w:r>
      <w:r>
        <w:rPr>
          <w:rFonts w:hint="eastAsia" w:ascii="仿宋_GB2312" w:hAnsi="仿宋_GB2312" w:eastAsia="仿宋_GB2312" w:cs="仿宋_GB2312"/>
          <w:bCs/>
          <w:sz w:val="28"/>
          <w:szCs w:val="28"/>
          <w:lang w:val="zh-CN"/>
        </w:rPr>
        <w:t>，服务完成</w:t>
      </w:r>
      <w:r>
        <w:rPr>
          <w:rFonts w:hint="eastAsia" w:cs="仿宋_GB2312"/>
          <w:bCs/>
          <w:sz w:val="28"/>
          <w:szCs w:val="28"/>
          <w:lang w:val="zh-CN"/>
        </w:rPr>
        <w:t>并验收合格</w:t>
      </w:r>
      <w:r>
        <w:rPr>
          <w:rFonts w:hint="eastAsia" w:ascii="仿宋_GB2312" w:hAnsi="仿宋_GB2312" w:eastAsia="仿宋_GB2312" w:cs="仿宋_GB2312"/>
          <w:bCs/>
          <w:sz w:val="28"/>
          <w:szCs w:val="28"/>
          <w:lang w:val="zh-CN"/>
        </w:rPr>
        <w:t>后，乙方向</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提交发票、验收报告等结算</w:t>
      </w:r>
      <w:r>
        <w:rPr>
          <w:rFonts w:hint="eastAsia" w:ascii="仿宋_GB2312" w:hAnsi="仿宋_GB2312" w:eastAsia="仿宋_GB2312" w:cs="仿宋_GB2312"/>
          <w:bCs/>
          <w:sz w:val="28"/>
          <w:szCs w:val="28"/>
        </w:rPr>
        <w:t>材料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_GB2312" w:hAnsi="仿宋_GB2312" w:eastAsia="仿宋_GB2312" w:cs="仿宋_GB2312"/>
          <w:bCs/>
          <w:sz w:val="28"/>
          <w:szCs w:val="28"/>
          <w:lang w:val="zh-CN"/>
        </w:rPr>
        <w:t>日内</w:t>
      </w:r>
      <w:r>
        <w:rPr>
          <w:rFonts w:hint="eastAsia" w:ascii="仿宋" w:hAnsi="仿宋" w:eastAsia="仿宋_GB2312"/>
          <w:bCs/>
          <w:sz w:val="28"/>
          <w:szCs w:val="28"/>
          <w:lang w:val="zh-CN"/>
        </w:rPr>
        <w:t>向乙方支付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楷体_GB2312" w:hAnsi="楷体_GB2312" w:eastAsia="楷体_GB2312" w:cs="楷体_GB2312"/>
          <w:bCs/>
          <w:sz w:val="24"/>
          <w:szCs w:val="24"/>
          <w:u w:val="none"/>
          <w:lang w:val="zh-CN"/>
        </w:rPr>
      </w:pP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w:t>
      </w:r>
      <w:r>
        <w:rPr>
          <w:rFonts w:hint="eastAsia" w:ascii="仿宋" w:hAnsi="仿宋"/>
          <w:bCs/>
          <w:sz w:val="28"/>
          <w:szCs w:val="28"/>
          <w:lang w:val="zh-CN"/>
        </w:rPr>
        <w:t>合同金额的</w:t>
      </w:r>
      <w:r>
        <w:rPr>
          <w:rFonts w:hint="eastAsia" w:ascii="仿宋" w:hAnsi="仿宋"/>
          <w:bCs/>
          <w:sz w:val="28"/>
          <w:szCs w:val="28"/>
          <w:u w:val="single"/>
          <w:lang w:val="en-US" w:eastAsia="zh-CN"/>
        </w:rPr>
        <w:t xml:space="preserve">    </w:t>
      </w:r>
      <w:r>
        <w:rPr>
          <w:rFonts w:hint="eastAsia" w:ascii="仿宋_GB2312" w:hAnsi="仿宋_GB2312" w:eastAsia="仿宋_GB2312" w:cs="仿宋_GB2312"/>
          <w:bCs/>
          <w:sz w:val="28"/>
          <w:szCs w:val="28"/>
          <w:u w:val="none"/>
          <w:lang w:val="en-US" w:eastAsia="zh-CN"/>
        </w:rPr>
        <w:t>%</w:t>
      </w:r>
      <w:r>
        <w:rPr>
          <w:rFonts w:hint="eastAsia" w:ascii="仿宋" w:hAnsi="仿宋"/>
          <w:bCs/>
          <w:sz w:val="28"/>
          <w:szCs w:val="28"/>
          <w:u w:val="none"/>
          <w:lang w:val="en-US"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w:t>
      </w:r>
      <w:r>
        <w:rPr>
          <w:rFonts w:hint="eastAsia" w:ascii="楷体_GB2312" w:hAnsi="楷体_GB2312" w:eastAsia="楷体_GB2312" w:cs="楷体_GB2312"/>
          <w:bCs/>
          <w:sz w:val="24"/>
          <w:szCs w:val="24"/>
          <w:u w:val="none"/>
          <w:lang w:val="zh-CN"/>
        </w:rPr>
        <w:t>（支付阶段、结算依据和比例根据军队财务规定和项目情况确定）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4"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十三、违约责任</w:t>
      </w:r>
    </w:p>
    <w:bookmarkEnd w:id="4"/>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5"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5"/>
      <w:bookmarkStart w:id="6" w:name="_Hlk129350035"/>
      <w:r>
        <w:rPr>
          <w:rFonts w:hint="eastAsia" w:ascii="仿宋_GB2312" w:hAnsi="仿宋_GB2312" w:eastAsia="仿宋_GB2312" w:cs="仿宋_GB2312"/>
          <w:bCs/>
          <w:sz w:val="28"/>
          <w:szCs w:val="28"/>
        </w:rPr>
        <w:t>乙方</w:t>
      </w:r>
      <w:bookmarkEnd w:id="6"/>
      <w:r>
        <w:rPr>
          <w:rFonts w:hint="eastAsia" w:ascii="仿宋_GB2312" w:hAnsi="仿宋_GB2312" w:eastAsia="仿宋_GB2312" w:cs="仿宋_GB2312"/>
          <w:bCs/>
          <w:sz w:val="28"/>
          <w:szCs w:val="28"/>
        </w:rPr>
        <w:t>不能满足</w:t>
      </w:r>
      <w:bookmarkStart w:id="7" w:name="_Hlk129355209"/>
      <w:r>
        <w:rPr>
          <w:rFonts w:hint="eastAsia" w:ascii="仿宋_GB2312" w:hAnsi="仿宋_GB2312" w:eastAsia="仿宋_GB2312" w:cs="仿宋_GB2312"/>
          <w:bCs/>
          <w:sz w:val="28"/>
          <w:szCs w:val="28"/>
        </w:rPr>
        <w:t>合同约定</w:t>
      </w:r>
      <w:bookmarkEnd w:id="7"/>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四</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十四、争议解决方式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十五、合同生效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十六、其他事项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□十七、附件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w:t>
      </w:r>
      <w:bookmarkStart w:id="8" w:name="_GoBack"/>
      <w:bookmarkEnd w:id="8"/>
      <w:r>
        <w:rPr>
          <w:rFonts w:hint="eastAsia" w:ascii="仿宋" w:hAnsi="仿宋" w:eastAsia="仿宋_GB2312"/>
          <w:bCs/>
          <w:sz w:val="28"/>
          <w:szCs w:val="28"/>
        </w:rPr>
        <w:t>内容相背离。</w:t>
      </w:r>
    </w:p>
    <w:p>
      <w:pPr>
        <w:adjustRightInd w:val="0"/>
        <w:spacing w:line="530" w:lineRule="exact"/>
      </w:pPr>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17</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16</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3BBB"/>
    <w:rsid w:val="0027507F"/>
    <w:rsid w:val="00281017"/>
    <w:rsid w:val="0028106A"/>
    <w:rsid w:val="00281AD4"/>
    <w:rsid w:val="00287153"/>
    <w:rsid w:val="002A56E4"/>
    <w:rsid w:val="002A70B0"/>
    <w:rsid w:val="002C0630"/>
    <w:rsid w:val="002C37BC"/>
    <w:rsid w:val="002C40CC"/>
    <w:rsid w:val="002D1942"/>
    <w:rsid w:val="002D35E7"/>
    <w:rsid w:val="002D396F"/>
    <w:rsid w:val="002E01E0"/>
    <w:rsid w:val="002E0A54"/>
    <w:rsid w:val="002E3C82"/>
    <w:rsid w:val="002E6C4D"/>
    <w:rsid w:val="002F0A61"/>
    <w:rsid w:val="002F2C68"/>
    <w:rsid w:val="002F66AF"/>
    <w:rsid w:val="00303428"/>
    <w:rsid w:val="00306D17"/>
    <w:rsid w:val="00310A94"/>
    <w:rsid w:val="003120E2"/>
    <w:rsid w:val="00322F21"/>
    <w:rsid w:val="00324B0E"/>
    <w:rsid w:val="00335027"/>
    <w:rsid w:val="003357AA"/>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172B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62B6"/>
    <w:rsid w:val="00567057"/>
    <w:rsid w:val="00571850"/>
    <w:rsid w:val="00576E05"/>
    <w:rsid w:val="0057704C"/>
    <w:rsid w:val="005853FD"/>
    <w:rsid w:val="0059270E"/>
    <w:rsid w:val="005A33C5"/>
    <w:rsid w:val="005A37DB"/>
    <w:rsid w:val="005A3C6C"/>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9707F"/>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D7D15"/>
    <w:rsid w:val="008E1148"/>
    <w:rsid w:val="008E2554"/>
    <w:rsid w:val="008F30AC"/>
    <w:rsid w:val="00907106"/>
    <w:rsid w:val="009117BE"/>
    <w:rsid w:val="00914D9B"/>
    <w:rsid w:val="00916ADA"/>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39"/>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C7EA4"/>
    <w:rsid w:val="00DE0141"/>
    <w:rsid w:val="00DE182D"/>
    <w:rsid w:val="00DE5FFF"/>
    <w:rsid w:val="00DE7989"/>
    <w:rsid w:val="00DE7F6D"/>
    <w:rsid w:val="00DF07B2"/>
    <w:rsid w:val="00E0418A"/>
    <w:rsid w:val="00E12DBD"/>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2C45"/>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1FFFDBCA"/>
    <w:rsid w:val="204E13A2"/>
    <w:rsid w:val="224F1184"/>
    <w:rsid w:val="22EC72A1"/>
    <w:rsid w:val="234745A7"/>
    <w:rsid w:val="235252E9"/>
    <w:rsid w:val="26103889"/>
    <w:rsid w:val="272E7CC9"/>
    <w:rsid w:val="27940DE1"/>
    <w:rsid w:val="2807684B"/>
    <w:rsid w:val="286375C7"/>
    <w:rsid w:val="2B94540E"/>
    <w:rsid w:val="2BB13488"/>
    <w:rsid w:val="2BB83D60"/>
    <w:rsid w:val="2C2A761B"/>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927471D"/>
    <w:rsid w:val="39947E1A"/>
    <w:rsid w:val="39947FCC"/>
    <w:rsid w:val="39A26CBE"/>
    <w:rsid w:val="3A3466CD"/>
    <w:rsid w:val="3BAC2430"/>
    <w:rsid w:val="3D250077"/>
    <w:rsid w:val="3D507670"/>
    <w:rsid w:val="3FC463C8"/>
    <w:rsid w:val="405144D0"/>
    <w:rsid w:val="41277BB4"/>
    <w:rsid w:val="42640151"/>
    <w:rsid w:val="43743E09"/>
    <w:rsid w:val="46DC47D7"/>
    <w:rsid w:val="47CE5F0A"/>
    <w:rsid w:val="485817EC"/>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7B808B5"/>
    <w:rsid w:val="594C595D"/>
    <w:rsid w:val="5A160E4E"/>
    <w:rsid w:val="5BE55394"/>
    <w:rsid w:val="5D8B16A6"/>
    <w:rsid w:val="5E162DDF"/>
    <w:rsid w:val="61764BE2"/>
    <w:rsid w:val="61D62FCE"/>
    <w:rsid w:val="620B7AFA"/>
    <w:rsid w:val="624406FC"/>
    <w:rsid w:val="633927C0"/>
    <w:rsid w:val="63C673D2"/>
    <w:rsid w:val="643C1CEA"/>
    <w:rsid w:val="64E57406"/>
    <w:rsid w:val="685202C9"/>
    <w:rsid w:val="698373A1"/>
    <w:rsid w:val="6A986B1F"/>
    <w:rsid w:val="6B7E0745"/>
    <w:rsid w:val="6C5D6058"/>
    <w:rsid w:val="6C6C23C8"/>
    <w:rsid w:val="6C755464"/>
    <w:rsid w:val="6F8253A9"/>
    <w:rsid w:val="6FBB6940"/>
    <w:rsid w:val="70CA367A"/>
    <w:rsid w:val="71752373"/>
    <w:rsid w:val="71833D4B"/>
    <w:rsid w:val="73804A61"/>
    <w:rsid w:val="73D31B98"/>
    <w:rsid w:val="747D0702"/>
    <w:rsid w:val="76C42446"/>
    <w:rsid w:val="77A5299C"/>
    <w:rsid w:val="797567D1"/>
    <w:rsid w:val="7CAE2BD2"/>
    <w:rsid w:val="7CBC5B13"/>
    <w:rsid w:val="7EE62606"/>
    <w:rsid w:val="7F357B1D"/>
    <w:rsid w:val="7F503D18"/>
    <w:rsid w:val="7FA94E19"/>
    <w:rsid w:val="7FCD7D17"/>
    <w:rsid w:val="BDFFF9B2"/>
    <w:rsid w:val="EEF37CD0"/>
    <w:rsid w:val="FFE6C498"/>
    <w:rsid w:val="FFF50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1478</Words>
  <Characters>8431</Characters>
  <Lines>70</Lines>
  <Paragraphs>19</Paragraphs>
  <TotalTime>0</TotalTime>
  <ScaleCrop>false</ScaleCrop>
  <LinksUpToDate>false</LinksUpToDate>
  <CharactersWithSpaces>9890</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2024-04-18T03:10:00Z</dcterms:created>
  <dc:creator>余文龙</dc:creator>
  <cp:lastModifiedBy>何晓娇</cp:lastModifiedBy>
  <cp:lastPrinted>2024-04-09T01:08:00Z</cp:lastPrinted>
  <dcterms:modified xsi:type="dcterms:W3CDTF">2026-04-07T12:15:32Z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