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jc w:val="left"/>
        <w:rPr>
          <w:rFonts w:ascii="楷体_GB2312" w:hAnsi="楷体_GB2312" w:eastAsia="楷体_GB2312" w:cs="楷体_GB2312"/>
          <w:bCs/>
          <w:sz w:val="28"/>
          <w:szCs w:val="28"/>
        </w:rPr>
      </w:pPr>
      <w:r>
        <w:rPr>
          <w:rFonts w:hint="eastAsia" w:ascii="楷体_GB2312" w:hAnsi="楷体_GB2312" w:eastAsia="楷体_GB2312" w:cs="楷体_GB2312"/>
          <w:bCs/>
          <w:sz w:val="28"/>
          <w:szCs w:val="28"/>
        </w:rPr>
        <w:t>军队物资工程服务采购合同示范文本（2.</w:t>
      </w:r>
      <w:r>
        <w:rPr>
          <w:rFonts w:hint="eastAsia" w:ascii="楷体_GB2312" w:hAnsi="楷体_GB2312" w:eastAsia="楷体_GB2312" w:cs="楷体_GB2312"/>
          <w:bCs/>
          <w:sz w:val="28"/>
          <w:szCs w:val="28"/>
          <w:lang w:val="en-US" w:eastAsia="zh-CN"/>
        </w:rPr>
        <w:t>1</w:t>
      </w:r>
      <w:r>
        <w:rPr>
          <w:rFonts w:hint="eastAsia" w:ascii="楷体_GB2312" w:hAnsi="楷体_GB2312" w:eastAsia="楷体_GB2312" w:cs="楷体_GB2312"/>
          <w:bCs/>
          <w:sz w:val="28"/>
          <w:szCs w:val="28"/>
        </w:rPr>
        <w:t>版）</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jc w:val="center"/>
        <w:rPr>
          <w:rFonts w:ascii="方正小标宋简体" w:hAnsi="方正小标宋简体" w:eastAsia="方正小标宋简体" w:cs="方正小标宋简体"/>
          <w:bCs/>
          <w:snapToGrid w:val="0"/>
          <w:kern w:val="0"/>
          <w:sz w:val="52"/>
          <w:szCs w:val="52"/>
        </w:rPr>
      </w:pPr>
      <w:r>
        <w:rPr>
          <w:rFonts w:hint="eastAsia" w:ascii="方正小标宋简体" w:hAnsi="方正小标宋简体" w:eastAsia="方正小标宋简体" w:cs="方正小标宋简体"/>
          <w:bCs/>
          <w:snapToGrid w:val="0"/>
          <w:kern w:val="0"/>
          <w:sz w:val="52"/>
          <w:szCs w:val="52"/>
        </w:rPr>
        <w:t>法律服务项目采购合同</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440" w:leftChars="450"/>
        <w:jc w:val="left"/>
        <w:rPr>
          <w:bCs/>
          <w:snapToGrid w:val="0"/>
          <w:kern w:val="0"/>
          <w:szCs w:val="32"/>
          <w:u w:val="single"/>
        </w:rPr>
      </w:pPr>
      <w:r>
        <w:rPr>
          <w:rFonts w:hint="eastAsia" w:ascii="黑体" w:hAnsi="黑体" w:eastAsia="黑体" w:cs="黑体"/>
          <w:bCs/>
          <w:snapToGrid w:val="0"/>
          <w:kern w:val="0"/>
          <w:szCs w:val="32"/>
        </w:rPr>
        <w:t>项目名称:</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项目编号:</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合同编号:</w:t>
      </w:r>
      <w:r>
        <w:rPr>
          <w:rFonts w:hint="eastAsia"/>
          <w:bCs/>
          <w:szCs w:val="32"/>
          <w:u w:val="single"/>
        </w:rPr>
        <w:t xml:space="preserve">                             </w:t>
      </w:r>
    </w:p>
    <w:p>
      <w:pPr>
        <w:adjustRightInd w:val="0"/>
        <w:spacing w:line="720" w:lineRule="exact"/>
        <w:ind w:left="1440" w:leftChars="450"/>
        <w:rPr>
          <w:b/>
          <w:snapToGrid w:val="0"/>
          <w:kern w:val="0"/>
          <w:szCs w:val="32"/>
        </w:rPr>
      </w:pPr>
    </w:p>
    <w:p>
      <w:pPr>
        <w:adjustRightInd w:val="0"/>
        <w:spacing w:line="720" w:lineRule="exact"/>
        <w:ind w:left="1440" w:leftChars="450"/>
        <w:rPr>
          <w:b/>
          <w:snapToGrid w:val="0"/>
          <w:kern w:val="0"/>
          <w:szCs w:val="32"/>
        </w:rPr>
      </w:pPr>
    </w:p>
    <w:p>
      <w:pPr>
        <w:adjustRightInd w:val="0"/>
        <w:spacing w:line="720" w:lineRule="exact"/>
        <w:ind w:left="3024" w:leftChars="450" w:hanging="1584" w:hangingChars="495"/>
        <w:jc w:val="left"/>
        <w:rPr>
          <w:bCs/>
          <w:snapToGrid w:val="0"/>
          <w:kern w:val="0"/>
          <w:szCs w:val="32"/>
        </w:rPr>
      </w:pPr>
      <w:r>
        <w:rPr>
          <w:rFonts w:hint="eastAsia" w:ascii="黑体" w:hAnsi="黑体" w:eastAsia="黑体" w:cs="黑体"/>
          <w:bCs/>
          <w:snapToGrid w:val="0"/>
          <w:kern w:val="0"/>
          <w:szCs w:val="32"/>
        </w:rPr>
        <w:t>甲方（采购单位）:</w:t>
      </w:r>
      <w:r>
        <w:rPr>
          <w:rFonts w:hint="eastAsia"/>
          <w:bCs/>
          <w:snapToGrid w:val="0"/>
          <w:kern w:val="0"/>
          <w:szCs w:val="32"/>
          <w:u w:val="single"/>
        </w:rPr>
        <w:t xml:space="preserve">                     </w:t>
      </w:r>
    </w:p>
    <w:p>
      <w:pPr>
        <w:adjustRightInd w:val="0"/>
        <w:spacing w:line="720" w:lineRule="exact"/>
        <w:ind w:left="3024" w:leftChars="450" w:hanging="1584" w:hangingChars="495"/>
        <w:jc w:val="left"/>
        <w:rPr>
          <w:bCs/>
          <w:snapToGrid w:val="0"/>
          <w:kern w:val="0"/>
          <w:szCs w:val="32"/>
          <w:u w:val="single"/>
        </w:rPr>
      </w:pPr>
      <w:r>
        <w:rPr>
          <w:rFonts w:hint="eastAsia" w:ascii="黑体" w:hAnsi="黑体" w:eastAsia="黑体" w:cs="黑体"/>
          <w:bCs/>
          <w:snapToGrid w:val="0"/>
          <w:kern w:val="0"/>
          <w:szCs w:val="32"/>
        </w:rPr>
        <w:t>乙方（供 应 商）:</w:t>
      </w:r>
      <w:r>
        <w:rPr>
          <w:rFonts w:hint="eastAsia"/>
          <w:bCs/>
          <w:snapToGrid w:val="0"/>
          <w:kern w:val="0"/>
          <w:szCs w:val="32"/>
          <w:u w:val="single"/>
        </w:rPr>
        <w:t xml:space="preserve">                     </w:t>
      </w:r>
    </w:p>
    <w:p>
      <w:pPr>
        <w:adjustRightInd w:val="0"/>
        <w:spacing w:line="720" w:lineRule="exact"/>
        <w:ind w:left="1600" w:leftChars="500"/>
        <w:rPr>
          <w:b/>
          <w:snapToGrid w:val="0"/>
          <w:kern w:val="0"/>
          <w:szCs w:val="32"/>
        </w:rPr>
      </w:pPr>
    </w:p>
    <w:p>
      <w:pPr>
        <w:adjustRightInd w:val="0"/>
        <w:spacing w:line="720" w:lineRule="exact"/>
        <w:ind w:left="1600" w:leftChars="500"/>
        <w:rPr>
          <w:b/>
          <w:snapToGrid w:val="0"/>
          <w:kern w:val="0"/>
          <w:szCs w:val="32"/>
        </w:rPr>
      </w:pPr>
    </w:p>
    <w:p>
      <w:pPr>
        <w:pStyle w:val="3"/>
        <w:keepNext w:val="0"/>
        <w:keepLines w:val="0"/>
        <w:adjustRightInd w:val="0"/>
        <w:spacing w:before="0" w:after="0" w:line="560" w:lineRule="exact"/>
        <w:jc w:val="center"/>
        <w:rPr>
          <w:rFonts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start="0"/>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adjustRightInd w:val="0"/>
        <w:spacing w:line="530" w:lineRule="exact"/>
        <w:ind w:firstLine="560" w:firstLineChars="200"/>
        <w:rPr>
          <w:rFonts w:ascii="仿宋" w:hAnsi="仿宋"/>
          <w:bCs/>
          <w:sz w:val="28"/>
          <w:szCs w:val="28"/>
        </w:rPr>
      </w:pPr>
    </w:p>
    <w:p>
      <w:pPr>
        <w:pStyle w:val="6"/>
        <w:keepNext w:val="0"/>
        <w:keepLines w:val="0"/>
        <w:adjustRightInd w:val="0"/>
        <w:spacing w:before="0" w:after="0" w:line="530" w:lineRule="exact"/>
        <w:ind w:firstLine="560" w:firstLineChars="200"/>
        <w:rPr>
          <w:b w:val="0"/>
          <w:bCs w:val="0"/>
        </w:rPr>
      </w:pPr>
      <w:r>
        <w:rPr>
          <w:rFonts w:hint="eastAsia"/>
          <w:b w:val="0"/>
          <w:bCs w:val="0"/>
        </w:rPr>
        <w:t>一、定义</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（一）“合同”是指甲方和乙方（以下简称双方）已达成的协议。</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（二）“甲方”是指采购服务的采购单位，或者受采购单位委托的采购机构。</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（三）“乙方”是指中标（成交）后提供服务的供应商。</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（四）“合同金额”是指根据合同约定，在乙方全面正确地履行合同义务时支付给乙方的款项。</w:t>
      </w:r>
    </w:p>
    <w:p>
      <w:pPr>
        <w:pStyle w:val="6"/>
        <w:keepNext w:val="0"/>
        <w:keepLines w:val="0"/>
        <w:adjustRightInd w:val="0"/>
        <w:spacing w:before="0" w:after="0" w:line="530" w:lineRule="exact"/>
        <w:ind w:firstLine="560" w:firstLineChars="200"/>
        <w:rPr>
          <w:rFonts w:ascii="楷体_GB2312" w:hAnsi="楷体_GB2312" w:eastAsia="楷体_GB2312" w:cs="楷体_GB2312"/>
          <w:sz w:val="21"/>
          <w:szCs w:val="21"/>
        </w:rPr>
      </w:pPr>
      <w:r>
        <w:rPr>
          <w:rFonts w:hint="eastAsia" w:ascii="仿宋" w:hAnsi="仿宋" w:eastAsia="仿宋_GB2312"/>
          <w:b w:val="0"/>
          <w:bCs w:val="0"/>
        </w:rPr>
        <w:t>（五）“服务”是指乙方根据合同约定向甲方交付或实施的服务。</w:t>
      </w:r>
      <w:r>
        <w:rPr>
          <w:rFonts w:hint="eastAsia" w:ascii="楷体" w:hAnsi="楷体" w:eastAsia="楷体_GB2312" w:cs="楷体_GB2312"/>
          <w:b w:val="0"/>
          <w:bCs w:val="0"/>
          <w:sz w:val="21"/>
          <w:szCs w:val="21"/>
        </w:rPr>
        <w:t>（</w:t>
      </w:r>
      <w:r>
        <w:rPr>
          <w:rFonts w:hint="eastAsia" w:ascii="楷体" w:hAnsi="楷体"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 w:hAnsi="楷体" w:eastAsia="楷体_GB2312" w:cs="楷体_GB2312"/>
          <w:b w:val="0"/>
          <w:bCs w:val="0"/>
          <w:sz w:val="21"/>
          <w:szCs w:val="21"/>
        </w:rPr>
        <w:t>）</w:t>
      </w:r>
    </w:p>
    <w:p>
      <w:pPr>
        <w:pStyle w:val="6"/>
        <w:keepNext w:val="0"/>
        <w:keepLines w:val="0"/>
        <w:adjustRightInd w:val="0"/>
        <w:spacing w:before="0" w:after="0" w:line="530" w:lineRule="exact"/>
        <w:ind w:firstLine="560" w:firstLineChars="200"/>
        <w:rPr>
          <w:b w:val="0"/>
          <w:bCs w:val="0"/>
        </w:rPr>
      </w:pPr>
      <w:r>
        <w:rPr>
          <w:rFonts w:hint="eastAsia"/>
          <w:b w:val="0"/>
          <w:bCs w:val="0"/>
        </w:rPr>
        <w:t>二、知识产权</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乙方应当保证甲方在使用乙方交付的服务成果时不受第三方提出侵犯其知识产权的指控，对此甲方不承担任何连带责任或赔偿责任。</w:t>
      </w:r>
    </w:p>
    <w:p>
      <w:pPr>
        <w:pStyle w:val="6"/>
        <w:keepNext w:val="0"/>
        <w:keepLines w:val="0"/>
        <w:adjustRightInd w:val="0"/>
        <w:spacing w:before="0" w:after="0" w:line="530" w:lineRule="exact"/>
        <w:ind w:firstLine="560" w:firstLineChars="200"/>
        <w:rPr>
          <w:b w:val="0"/>
          <w:bCs w:val="0"/>
        </w:rPr>
      </w:pPr>
      <w:r>
        <w:rPr>
          <w:rFonts w:hint="eastAsia"/>
          <w:b w:val="0"/>
          <w:bCs w:val="0"/>
        </w:rPr>
        <w:t>三、合同的变更和解除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（一）因合同变更、解除造成损失的，过错方应当按照合同约定或者国家法律法规承担赔偿责任，双方都有过错的，应当按照合同约定或者国家法律法规各自承担相应的责任。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（二）合同履行中，存在以下情形之一的，经双方协商一致，并由甲方按照军队有关规定办理审批后，可以变更合同：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4.继续履行合同将损害国家或者军队利益，通过合同变更能够消除相应损害的，可以变更合同。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1.因不可抗力无法履行合同，不能实现合同目的的；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2.继续履行合同将损害国家或者甲方利益，且无法通过合同变更或者中止方式解决的；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3.采购任务调整或者取消，不能通过合同变更方式达成新协议的；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4.乙方明确表示或者以自己的行为表明不履行合同主要义务的；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5.乙方迟延履行合同主要义务，经催告后在限定合理整改期限内仍不履行的；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6.乙方存在违规违约行为致使不能实现合同目的的；</w:t>
      </w:r>
    </w:p>
    <w:p>
      <w:pPr>
        <w:adjustRightInd w:val="0"/>
        <w:spacing w:line="530" w:lineRule="exact"/>
        <w:ind w:firstLine="560" w:firstLineChars="200"/>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4.乙方对合同解除负有主要过错责任的，甲方有权拒绝接收合同已履行部分服务。</w:t>
      </w:r>
    </w:p>
    <w:p>
      <w:pPr>
        <w:pStyle w:val="6"/>
        <w:keepNext w:val="0"/>
        <w:keepLines w:val="0"/>
        <w:adjustRightInd w:val="0"/>
        <w:spacing w:before="0" w:after="0" w:line="530" w:lineRule="exact"/>
        <w:ind w:firstLine="560" w:firstLineChars="200"/>
        <w:rPr>
          <w:b w:val="0"/>
          <w:bCs w:val="0"/>
        </w:rPr>
      </w:pPr>
      <w:r>
        <w:rPr>
          <w:rFonts w:hint="eastAsia"/>
          <w:b w:val="0"/>
          <w:bCs w:val="0"/>
        </w:rPr>
        <w:t>四、履约监督</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1.经营状况严重恶化的；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2.转移财产、抽逃资金，以逃避债务的；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3.丧失商业信誉的；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4.有丧失或者可能丧失履行合同能力的其他情形。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（二）在不妨碍乙方正常作业的情况下，甲方有权不定期对服务的进度和过程质量管控情况进行监督检查，乙方承诺予以配合，如实反映情况，提供相关材料。</w:t>
      </w:r>
    </w:p>
    <w:p>
      <w:pPr>
        <w:adjustRightInd w:val="0"/>
        <w:spacing w:line="530" w:lineRule="exact"/>
        <w:ind w:firstLine="560" w:firstLineChars="200"/>
        <w:rPr>
          <w:bCs/>
          <w:sz w:val="28"/>
          <w:szCs w:val="28"/>
        </w:rPr>
      </w:pPr>
      <w:r>
        <w:rPr>
          <w:rFonts w:hint="eastAsia" w:ascii="仿宋" w:hAnsi="仿宋" w:eastAsia="仿宋_GB2312"/>
          <w:bCs/>
          <w:sz w:val="28"/>
          <w:szCs w:val="28"/>
        </w:rPr>
        <w:t>（三）乙方对于甲方采购管理部门、纪检监察部门、审计部门等职能部门开展的调查，承诺予以配合，如实反映情况，提供相关材料。</w:t>
      </w:r>
    </w:p>
    <w:p>
      <w:pPr>
        <w:pStyle w:val="6"/>
        <w:keepNext w:val="0"/>
        <w:keepLines w:val="0"/>
        <w:adjustRightInd w:val="0"/>
        <w:spacing w:before="0" w:after="0" w:line="530" w:lineRule="exact"/>
        <w:ind w:firstLine="560" w:firstLineChars="200"/>
        <w:rPr>
          <w:b w:val="0"/>
          <w:bCs w:val="0"/>
        </w:rPr>
      </w:pPr>
      <w:r>
        <w:rPr>
          <w:rFonts w:hint="eastAsia"/>
          <w:b w:val="0"/>
          <w:bCs w:val="0"/>
        </w:rPr>
        <w:t>五、转包与分包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不得将合同分包，采购文件允许并在投标（报价）文件中说明的情形除外。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（三）合同分包履行的，乙方应当与分包承担主体就分包项目向甲方承担连带责任。</w:t>
      </w:r>
    </w:p>
    <w:p>
      <w:pPr>
        <w:pStyle w:val="6"/>
        <w:keepNext w:val="0"/>
        <w:keepLines w:val="0"/>
        <w:adjustRightInd w:val="0"/>
        <w:spacing w:before="0" w:after="0" w:line="530" w:lineRule="exact"/>
        <w:ind w:firstLine="560" w:firstLineChars="200"/>
        <w:rPr>
          <w:b w:val="0"/>
          <w:bCs w:val="0"/>
        </w:rPr>
      </w:pPr>
      <w:r>
        <w:rPr>
          <w:rFonts w:hint="eastAsia"/>
          <w:b w:val="0"/>
          <w:bCs w:val="0"/>
        </w:rPr>
        <w:t>六、争议解决方式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（一）甲方和乙方协商解决。</w:t>
      </w:r>
    </w:p>
    <w:p>
      <w:pPr>
        <w:adjustRightInd w:val="0"/>
        <w:spacing w:line="530" w:lineRule="exact"/>
        <w:ind w:firstLine="560" w:firstLineChars="200"/>
        <w:rPr>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adjustRightInd w:val="0"/>
        <w:spacing w:before="0" w:after="0" w:line="530" w:lineRule="exact"/>
        <w:ind w:firstLine="560" w:firstLineChars="200"/>
        <w:rPr>
          <w:b w:val="0"/>
          <w:bCs w:val="0"/>
        </w:rPr>
      </w:pPr>
      <w:r>
        <w:rPr>
          <w:rFonts w:hint="eastAsia"/>
          <w:b w:val="0"/>
          <w:bCs w:val="0"/>
        </w:rPr>
        <w:t>七、组成合同的文件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组成本合同的文件及优先解释顺序如下：</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（一）采购合同及合同履行过程中双方协商达成的变更或补充协议；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（二）中标（成交）通知书；</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（三）投标（报价）文件；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（四）采购文件；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（五）标准、规范及有关技术文件，图纸；</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（六）其他合同文件。</w:t>
      </w:r>
    </w:p>
    <w:p>
      <w:pPr>
        <w:pStyle w:val="6"/>
        <w:keepNext w:val="0"/>
        <w:keepLines w:val="0"/>
        <w:adjustRightInd w:val="0"/>
        <w:spacing w:before="0" w:after="0" w:line="530" w:lineRule="exact"/>
        <w:ind w:firstLine="560" w:firstLineChars="200"/>
        <w:rPr>
          <w:b w:val="0"/>
          <w:bCs w:val="0"/>
        </w:rPr>
      </w:pPr>
      <w:r>
        <w:rPr>
          <w:rFonts w:hint="eastAsia"/>
          <w:b w:val="0"/>
          <w:bCs w:val="0"/>
        </w:rPr>
        <w:t>八、其他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（一）合同未尽事宜，双方另行签订补充协议，补充协议是合同的组成部分。</w:t>
      </w:r>
    </w:p>
    <w:p>
      <w:pPr>
        <w:adjustRightInd w:val="0"/>
        <w:spacing w:line="530" w:lineRule="exact"/>
        <w:ind w:firstLine="560" w:firstLineChars="200"/>
        <w:rPr>
          <w:rFonts w:ascii="仿宋" w:hAnsi="仿宋" w:eastAsia="仿宋_GB2312"/>
          <w:szCs w:val="32"/>
        </w:rPr>
      </w:pPr>
      <w:r>
        <w:rPr>
          <w:rFonts w:hint="eastAsia" w:ascii="仿宋" w:hAnsi="仿宋" w:eastAsia="仿宋_GB2312"/>
          <w:bCs/>
          <w:sz w:val="28"/>
          <w:szCs w:val="28"/>
        </w:rPr>
        <w:t>（二）本合同按照军队合同备案管理规定统一编号后，报相关部门备案。</w:t>
      </w:r>
    </w:p>
    <w:p>
      <w:pPr>
        <w:pStyle w:val="3"/>
        <w:keepNext w:val="0"/>
        <w:keepLines w:val="0"/>
        <w:adjustRightInd w:val="0"/>
        <w:spacing w:before="0" w:after="0" w:line="530" w:lineRule="exact"/>
        <w:jc w:val="center"/>
        <w:rPr>
          <w:rFonts w:ascii="仿宋" w:hAnsi="仿宋" w:eastAsia="仿宋_GB2312"/>
          <w:b w:val="0"/>
          <w:bCs w:val="0"/>
        </w:rPr>
        <w:sectPr>
          <w:footerReference r:id="rId7" w:type="default"/>
          <w:footerReference r:id="rId8" w:type="even"/>
          <w:pgSz w:w="11906" w:h="16838"/>
          <w:pgMar w:top="2098" w:right="1474" w:bottom="1984" w:left="1587" w:header="851" w:footer="1247" w:gutter="0"/>
          <w:pgNumType w:start="1"/>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rPr>
          <w:lang w:val="zh-CN"/>
        </w:rPr>
      </w:pPr>
    </w:p>
    <w:p>
      <w:pPr>
        <w:pStyle w:val="6"/>
        <w:keepNext w:val="0"/>
        <w:keepLines w:val="0"/>
        <w:adjustRightInd w:val="0"/>
        <w:spacing w:before="0" w:after="0" w:line="530" w:lineRule="exact"/>
        <w:ind w:firstLine="560" w:firstLineChars="200"/>
        <w:rPr>
          <w:b w:val="0"/>
          <w:bCs w:val="0"/>
        </w:rPr>
      </w:pPr>
      <w:r>
        <w:rPr>
          <w:rFonts w:hint="eastAsia"/>
          <w:b w:val="0"/>
          <w:bCs w:val="0"/>
        </w:rPr>
        <w:t>一、项目信息</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adjustRightInd w:val="0"/>
        <w:spacing w:before="0" w:after="0" w:line="530" w:lineRule="exact"/>
        <w:ind w:firstLine="560" w:firstLineChars="200"/>
        <w:rPr>
          <w:b w:val="0"/>
          <w:bCs w:val="0"/>
        </w:rPr>
      </w:pPr>
      <w:r>
        <w:rPr>
          <w:rFonts w:hint="eastAsia"/>
          <w:b w:val="0"/>
          <w:bCs w:val="0"/>
        </w:rPr>
        <w:t>二、</w:t>
      </w:r>
      <w:r>
        <w:rPr>
          <w:rFonts w:hint="eastAsia"/>
          <w:b w:val="0"/>
          <w:bCs w:val="0"/>
          <w:lang w:eastAsia="zh-CN"/>
        </w:rPr>
        <w:t>合同标的</w:t>
      </w:r>
      <w:r>
        <w:rPr>
          <w:rFonts w:hint="eastAsia"/>
          <w:b w:val="0"/>
          <w:bCs w:val="0"/>
        </w:rPr>
        <w:t>及</w:t>
      </w:r>
      <w:r>
        <w:rPr>
          <w:b w:val="0"/>
          <w:bCs w:val="0"/>
        </w:rPr>
        <w:t>金额</w:t>
      </w:r>
    </w:p>
    <w:tbl>
      <w:tblPr>
        <w:tblStyle w:val="12"/>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285"/>
        <w:gridCol w:w="2220"/>
        <w:gridCol w:w="800"/>
        <w:gridCol w:w="730"/>
        <w:gridCol w:w="988"/>
        <w:gridCol w:w="989"/>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服务</w:t>
            </w:r>
            <w:r>
              <w:rPr>
                <w:rFonts w:hint="eastAsia" w:ascii="仿宋_GB2312" w:hAnsi="仿宋_GB2312" w:eastAsia="仿宋_GB2312" w:cs="仿宋_GB2312"/>
                <w:bCs/>
                <w:spacing w:val="-4"/>
                <w:sz w:val="21"/>
                <w:szCs w:val="21"/>
              </w:rPr>
              <w:t>名称</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主要内容</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单位</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价格</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小计</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iCs/>
                <w:spacing w:val="-4"/>
                <w:sz w:val="21"/>
                <w:szCs w:val="21"/>
                <w:lang w:eastAsia="zh-CN"/>
              </w:rPr>
            </w:pPr>
            <w:r>
              <w:rPr>
                <w:rFonts w:hint="eastAsia" w:ascii="楷体_GB2312" w:hAnsi="楷体_GB2312" w:eastAsia="楷体_GB2312" w:cs="楷体_GB2312"/>
                <w:bCs/>
                <w:iCs/>
                <w:spacing w:val="-4"/>
                <w:sz w:val="21"/>
                <w:szCs w:val="21"/>
                <w:lang w:eastAsia="zh-CN"/>
              </w:rPr>
              <w:t>详见本合同第四条</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1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ascii="仿宋_GB2312" w:hAnsi="仿宋_GB2312" w:eastAsia="仿宋_GB2312" w:cs="仿宋_GB2312"/>
                <w:bCs/>
                <w:spacing w:val="-4"/>
                <w:sz w:val="21"/>
                <w:szCs w:val="21"/>
                <w:lang w:eastAsia="zh-CN"/>
              </w:rPr>
              <w:t>计</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三、合同履行的时间、地点及方式</w:t>
      </w:r>
    </w:p>
    <w:p>
      <w:pPr>
        <w:adjustRightInd w:val="0"/>
        <w:spacing w:line="530" w:lineRule="exact"/>
        <w:ind w:left="160" w:leftChars="50" w:firstLine="420" w:firstLineChars="150"/>
        <w:rPr>
          <w:rFonts w:ascii="仿宋" w:hAnsi="仿宋" w:eastAsia="仿宋_GB2312"/>
          <w:bCs/>
          <w:sz w:val="28"/>
          <w:szCs w:val="28"/>
        </w:rPr>
      </w:pPr>
      <w:r>
        <w:rPr>
          <w:rFonts w:hint="eastAsia" w:ascii="仿宋" w:hAnsi="仿宋" w:eastAsia="仿宋_GB2312" w:cs="宋体"/>
          <w:bCs/>
          <w:sz w:val="28"/>
          <w:szCs w:val="28"/>
        </w:rPr>
        <w:t>（一）服务期限</w:t>
      </w:r>
      <w:r>
        <w:rPr>
          <w:rFonts w:hint="eastAsia" w:ascii="仿宋" w:hAnsi="仿宋" w:cs="宋体"/>
          <w:bCs/>
          <w:sz w:val="28"/>
          <w:szCs w:val="28"/>
          <w:lang w:eastAsia="zh-CN"/>
        </w:rPr>
        <w:t>：</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rPr>
        <w:t>年</w:t>
      </w:r>
      <w:r>
        <w:rPr>
          <w:rFonts w:ascii="仿宋" w:hAnsi="仿宋" w:eastAsia="仿宋_GB2312" w:cs="宋体"/>
          <w:bCs/>
          <w:sz w:val="28"/>
          <w:szCs w:val="28"/>
          <w:u w:val="single"/>
        </w:rPr>
        <w:t xml:space="preserve">  </w:t>
      </w:r>
      <w:r>
        <w:rPr>
          <w:rFonts w:ascii="仿宋" w:hAnsi="仿宋" w:eastAsia="仿宋_GB2312" w:cs="宋体"/>
          <w:bCs/>
          <w:sz w:val="28"/>
          <w:szCs w:val="28"/>
        </w:rPr>
        <w:t>月</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u w:val="single"/>
        </w:rPr>
        <w:t xml:space="preserve"> </w:t>
      </w:r>
      <w:r>
        <w:rPr>
          <w:rFonts w:ascii="仿宋" w:hAnsi="仿宋" w:eastAsia="仿宋_GB2312" w:cs="宋体"/>
          <w:bCs/>
          <w:sz w:val="28"/>
          <w:szCs w:val="28"/>
        </w:rPr>
        <w:t>日至</w:t>
      </w:r>
      <w:r>
        <w:rPr>
          <w:rFonts w:ascii="仿宋" w:hAnsi="仿宋" w:eastAsia="仿宋_GB2312" w:cs="宋体"/>
          <w:bCs/>
          <w:sz w:val="28"/>
          <w:szCs w:val="28"/>
          <w:u w:val="single"/>
        </w:rPr>
        <w:t xml:space="preserve">   </w:t>
      </w:r>
      <w:r>
        <w:rPr>
          <w:rFonts w:ascii="仿宋" w:hAnsi="仿宋" w:eastAsia="仿宋_GB2312" w:cs="宋体"/>
          <w:bCs/>
          <w:sz w:val="28"/>
          <w:szCs w:val="28"/>
        </w:rPr>
        <w:t>年</w:t>
      </w:r>
      <w:r>
        <w:rPr>
          <w:rFonts w:ascii="仿宋" w:hAnsi="仿宋" w:eastAsia="仿宋_GB2312" w:cs="宋体"/>
          <w:bCs/>
          <w:sz w:val="28"/>
          <w:szCs w:val="28"/>
          <w:u w:val="single"/>
        </w:rPr>
        <w:t xml:space="preserve">  </w:t>
      </w:r>
      <w:r>
        <w:rPr>
          <w:rFonts w:ascii="仿宋" w:hAnsi="仿宋" w:eastAsia="仿宋_GB2312" w:cs="宋体"/>
          <w:bCs/>
          <w:sz w:val="28"/>
          <w:szCs w:val="28"/>
        </w:rPr>
        <w:t>月</w:t>
      </w:r>
      <w:r>
        <w:rPr>
          <w:rFonts w:ascii="仿宋" w:hAnsi="仿宋" w:eastAsia="仿宋_GB2312" w:cs="宋体"/>
          <w:bCs/>
          <w:sz w:val="28"/>
          <w:szCs w:val="28"/>
          <w:u w:val="single"/>
        </w:rPr>
        <w:t xml:space="preserve">  </w:t>
      </w:r>
      <w:r>
        <w:rPr>
          <w:rFonts w:ascii="仿宋" w:hAnsi="仿宋" w:eastAsia="仿宋_GB2312" w:cs="宋体"/>
          <w:bCs/>
          <w:sz w:val="28"/>
          <w:szCs w:val="28"/>
        </w:rPr>
        <w:t>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（二）</w:t>
      </w:r>
      <w:r>
        <w:rPr>
          <w:rFonts w:hint="eastAsia" w:ascii="仿宋" w:hAnsi="仿宋" w:eastAsia="仿宋_GB2312"/>
          <w:bCs/>
          <w:sz w:val="28"/>
          <w:szCs w:val="28"/>
        </w:rPr>
        <w:t>服务实施的地域范围：</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（三）合同履行的方式：</w:t>
      </w:r>
      <w:r>
        <w:rPr>
          <w:rFonts w:hint="eastAsia" w:ascii="仿宋" w:hAnsi="仿宋" w:eastAsia="仿宋_GB2312" w:cs="宋体"/>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四、</w:t>
      </w:r>
      <w:bookmarkStart w:id="0" w:name="_Hlk129351178"/>
      <w:r>
        <w:rPr>
          <w:rFonts w:hint="eastAsia" w:ascii="黑体" w:hAnsi="黑体"/>
          <w:b w:val="0"/>
          <w:bCs w:val="0"/>
        </w:rPr>
        <w:t>应用场景</w:t>
      </w:r>
      <w:bookmarkEnd w:id="0"/>
      <w:r>
        <w:rPr>
          <w:rFonts w:hint="eastAsia" w:ascii="黑体" w:hAnsi="黑体"/>
          <w:b w:val="0"/>
          <w:bCs w:val="0"/>
        </w:rPr>
        <w:t>、</w:t>
      </w:r>
      <w:bookmarkStart w:id="1" w:name="_Hlk129351232"/>
      <w:r>
        <w:rPr>
          <w:rFonts w:hint="eastAsia" w:ascii="黑体" w:hAnsi="黑体"/>
          <w:b w:val="0"/>
          <w:bCs w:val="0"/>
        </w:rPr>
        <w:t>服务内容和标准</w:t>
      </w:r>
      <w:bookmarkEnd w:id="1"/>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□（一）合同的应用场景：</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（二）服务实施的内容：</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（三）服务标准：</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w:t>
      </w:r>
      <w:r>
        <w:rPr>
          <w:rFonts w:ascii="仿宋" w:hAnsi="仿宋" w:eastAsia="仿宋_GB2312"/>
          <w:bCs/>
          <w:sz w:val="28"/>
          <w:szCs w:val="28"/>
        </w:rPr>
        <w:t>总体性要求：</w:t>
      </w:r>
      <w:r>
        <w:rPr>
          <w:rFonts w:ascii="仿宋" w:hAnsi="仿宋" w:eastAsia="仿宋_GB2312"/>
          <w:bCs/>
          <w:sz w:val="28"/>
          <w:szCs w:val="28"/>
          <w:u w:val="single"/>
        </w:rPr>
        <w:t xml:space="preserve">                                </w:t>
      </w:r>
      <w:r>
        <w:rPr>
          <w:rFonts w:ascii="仿宋" w:hAnsi="仿宋" w:eastAsia="仿宋_GB2312"/>
          <w:bCs/>
          <w:sz w:val="28"/>
          <w:szCs w:val="28"/>
        </w:rPr>
        <w:t>（</w:t>
      </w:r>
      <w:r>
        <w:rPr>
          <w:rFonts w:ascii="楷体" w:hAnsi="楷体" w:eastAsia="楷体_GB2312"/>
          <w:bCs/>
          <w:sz w:val="24"/>
          <w:szCs w:val="28"/>
        </w:rPr>
        <w:t>根据甲方工作范围及工作方式提出总体服务内容及要求</w:t>
      </w:r>
      <w:r>
        <w:rPr>
          <w:rFonts w:ascii="仿宋" w:hAnsi="仿宋" w:eastAsia="仿宋_GB2312"/>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w:t>
      </w:r>
      <w:r>
        <w:rPr>
          <w:rFonts w:ascii="仿宋" w:hAnsi="仿宋" w:eastAsia="仿宋_GB2312"/>
          <w:bCs/>
          <w:sz w:val="28"/>
          <w:szCs w:val="28"/>
        </w:rPr>
        <w:t>法律服务人员要求：</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w:t>
      </w:r>
      <w:r>
        <w:rPr>
          <w:rFonts w:ascii="仿宋" w:hAnsi="仿宋" w:eastAsia="仿宋_GB2312"/>
          <w:bCs/>
          <w:sz w:val="28"/>
          <w:szCs w:val="28"/>
        </w:rPr>
        <w:t>本项目配备的法律顾问人数不少于</w:t>
      </w:r>
      <w:r>
        <w:rPr>
          <w:rFonts w:ascii="仿宋" w:hAnsi="仿宋" w:eastAsia="仿宋_GB2312"/>
          <w:bCs/>
          <w:sz w:val="28"/>
          <w:szCs w:val="28"/>
          <w:u w:val="single"/>
        </w:rPr>
        <w:t xml:space="preserve">        </w:t>
      </w:r>
      <w:r>
        <w:rPr>
          <w:rFonts w:ascii="仿宋" w:hAnsi="仿宋" w:eastAsia="仿宋_GB2312"/>
          <w:bCs/>
          <w:sz w:val="28"/>
          <w:szCs w:val="28"/>
        </w:rPr>
        <w:t>人。</w:t>
      </w:r>
    </w:p>
    <w:p>
      <w:pPr>
        <w:adjustRightInd w:val="0"/>
        <w:spacing w:after="120" w:afterLines="50" w:line="530" w:lineRule="exact"/>
        <w:ind w:firstLine="560" w:firstLineChars="200"/>
        <w:rPr>
          <w:rFonts w:ascii="仿宋" w:hAnsi="仿宋" w:eastAsia="仿宋"/>
          <w:bCs/>
          <w:sz w:val="28"/>
          <w:szCs w:val="28"/>
        </w:rPr>
      </w:pPr>
      <w:r>
        <w:rPr>
          <w:rFonts w:hint="eastAsia" w:ascii="仿宋_GB2312" w:hAnsi="仿宋_GB2312" w:eastAsia="仿宋_GB2312" w:cs="仿宋_GB2312"/>
          <w:bCs/>
          <w:sz w:val="28"/>
          <w:szCs w:val="28"/>
        </w:rPr>
        <w:t>（2）</w:t>
      </w:r>
      <w:r>
        <w:rPr>
          <w:rFonts w:ascii="仿宋" w:hAnsi="仿宋" w:eastAsia="仿宋_GB2312"/>
          <w:bCs/>
          <w:sz w:val="28"/>
          <w:szCs w:val="28"/>
        </w:rPr>
        <w:t>委派的法律顾问的服务范围和工作方法，具体列表如下：</w:t>
      </w:r>
    </w:p>
    <w:tbl>
      <w:tblPr>
        <w:tblStyle w:val="12"/>
        <w:tblW w:w="87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3376"/>
        <w:gridCol w:w="2841"/>
        <w:gridCol w:w="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60" w:type="dxa"/>
            <w:vAlign w:val="center"/>
          </w:tcPr>
          <w:p>
            <w:pPr>
              <w:adjustRightInd w:val="0"/>
              <w:snapToGrid w:val="0"/>
              <w:spacing w:line="340" w:lineRule="exact"/>
              <w:jc w:val="center"/>
              <w:rPr>
                <w:rFonts w:ascii="仿宋" w:hAnsi="仿宋" w:eastAsia="仿宋"/>
                <w:color w:val="000000"/>
                <w:sz w:val="21"/>
                <w:szCs w:val="21"/>
              </w:rPr>
            </w:pPr>
            <w:r>
              <w:rPr>
                <w:rFonts w:hint="eastAsia" w:ascii="仿宋" w:hAnsi="仿宋" w:eastAsia="仿宋_GB2312"/>
                <w:color w:val="000000"/>
                <w:sz w:val="21"/>
                <w:szCs w:val="21"/>
              </w:rPr>
              <w:t>法律顾问</w:t>
            </w:r>
          </w:p>
        </w:tc>
        <w:tc>
          <w:tcPr>
            <w:tcW w:w="3376" w:type="dxa"/>
            <w:vAlign w:val="center"/>
          </w:tcPr>
          <w:p>
            <w:pPr>
              <w:adjustRightInd w:val="0"/>
              <w:snapToGrid w:val="0"/>
              <w:spacing w:line="340" w:lineRule="exact"/>
              <w:jc w:val="center"/>
              <w:rPr>
                <w:rFonts w:ascii="仿宋" w:hAnsi="仿宋" w:eastAsia="仿宋"/>
                <w:color w:val="000000"/>
                <w:sz w:val="21"/>
                <w:szCs w:val="21"/>
              </w:rPr>
            </w:pPr>
            <w:r>
              <w:rPr>
                <w:rFonts w:hint="eastAsia" w:ascii="仿宋" w:hAnsi="仿宋" w:eastAsia="仿宋_GB2312"/>
                <w:color w:val="000000"/>
                <w:sz w:val="21"/>
                <w:szCs w:val="21"/>
              </w:rPr>
              <w:t>服务范围</w:t>
            </w:r>
          </w:p>
        </w:tc>
        <w:tc>
          <w:tcPr>
            <w:tcW w:w="2841" w:type="dxa"/>
            <w:vAlign w:val="center"/>
          </w:tcPr>
          <w:p>
            <w:pPr>
              <w:adjustRightInd w:val="0"/>
              <w:snapToGrid w:val="0"/>
              <w:spacing w:line="340" w:lineRule="exact"/>
              <w:jc w:val="center"/>
              <w:rPr>
                <w:rFonts w:ascii="仿宋" w:hAnsi="仿宋" w:eastAsia="仿宋"/>
                <w:color w:val="000000"/>
                <w:sz w:val="21"/>
                <w:szCs w:val="21"/>
              </w:rPr>
            </w:pPr>
            <w:r>
              <w:rPr>
                <w:rFonts w:hint="eastAsia" w:ascii="仿宋" w:hAnsi="仿宋" w:eastAsia="仿宋_GB2312"/>
                <w:color w:val="000000"/>
                <w:sz w:val="21"/>
                <w:szCs w:val="21"/>
              </w:rPr>
              <w:t>工作方法</w:t>
            </w:r>
          </w:p>
        </w:tc>
        <w:tc>
          <w:tcPr>
            <w:tcW w:w="979" w:type="dxa"/>
            <w:vAlign w:val="center"/>
          </w:tcPr>
          <w:p>
            <w:pPr>
              <w:adjustRightInd w:val="0"/>
              <w:snapToGrid w:val="0"/>
              <w:spacing w:line="340" w:lineRule="exact"/>
              <w:jc w:val="center"/>
              <w:rPr>
                <w:rFonts w:ascii="仿宋" w:hAnsi="仿宋" w:eastAsia="仿宋"/>
                <w:color w:val="000000"/>
                <w:sz w:val="21"/>
                <w:szCs w:val="21"/>
              </w:rPr>
            </w:pPr>
            <w:r>
              <w:rPr>
                <w:rFonts w:hint="eastAsia" w:ascii="仿宋" w:hAnsi="仿宋" w:eastAsia="仿宋_GB2312"/>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60" w:type="dxa"/>
            <w:vAlign w:val="center"/>
          </w:tcPr>
          <w:p>
            <w:pPr>
              <w:adjustRightInd w:val="0"/>
              <w:snapToGrid w:val="0"/>
              <w:spacing w:line="340" w:lineRule="exact"/>
              <w:rPr>
                <w:rFonts w:ascii="仿宋" w:hAnsi="仿宋" w:eastAsia="仿宋"/>
                <w:color w:val="000000"/>
                <w:sz w:val="21"/>
                <w:szCs w:val="21"/>
              </w:rPr>
            </w:pPr>
          </w:p>
        </w:tc>
        <w:tc>
          <w:tcPr>
            <w:tcW w:w="3376" w:type="dxa"/>
            <w:vAlign w:val="center"/>
          </w:tcPr>
          <w:p>
            <w:pPr>
              <w:adjustRightInd w:val="0"/>
              <w:snapToGrid w:val="0"/>
              <w:spacing w:line="340" w:lineRule="exact"/>
              <w:rPr>
                <w:rFonts w:ascii="仿宋" w:hAnsi="仿宋" w:eastAsia="仿宋"/>
                <w:color w:val="000000"/>
                <w:sz w:val="21"/>
                <w:szCs w:val="21"/>
              </w:rPr>
            </w:pPr>
          </w:p>
        </w:tc>
        <w:tc>
          <w:tcPr>
            <w:tcW w:w="2841" w:type="dxa"/>
            <w:vAlign w:val="center"/>
          </w:tcPr>
          <w:p>
            <w:pPr>
              <w:adjustRightInd w:val="0"/>
              <w:snapToGrid w:val="0"/>
              <w:spacing w:line="340" w:lineRule="exact"/>
              <w:rPr>
                <w:rFonts w:ascii="仿宋" w:hAnsi="仿宋" w:eastAsia="仿宋"/>
                <w:color w:val="000000"/>
                <w:sz w:val="21"/>
                <w:szCs w:val="21"/>
              </w:rPr>
            </w:pPr>
          </w:p>
        </w:tc>
        <w:tc>
          <w:tcPr>
            <w:tcW w:w="979" w:type="dxa"/>
            <w:vAlign w:val="center"/>
          </w:tcPr>
          <w:p>
            <w:pPr>
              <w:adjustRightInd w:val="0"/>
              <w:snapToGrid w:val="0"/>
              <w:spacing w:line="340" w:lineRule="exact"/>
              <w:rPr>
                <w:rFonts w:ascii="仿宋" w:hAnsi="仿宋" w:eastAsia="仿宋"/>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60" w:type="dxa"/>
            <w:vAlign w:val="center"/>
          </w:tcPr>
          <w:p>
            <w:pPr>
              <w:adjustRightInd w:val="0"/>
              <w:snapToGrid w:val="0"/>
              <w:spacing w:line="340" w:lineRule="exact"/>
              <w:rPr>
                <w:rFonts w:ascii="仿宋" w:hAnsi="仿宋" w:eastAsia="仿宋"/>
                <w:color w:val="000000"/>
                <w:sz w:val="21"/>
                <w:szCs w:val="21"/>
              </w:rPr>
            </w:pPr>
          </w:p>
        </w:tc>
        <w:tc>
          <w:tcPr>
            <w:tcW w:w="3376" w:type="dxa"/>
            <w:vAlign w:val="center"/>
          </w:tcPr>
          <w:p>
            <w:pPr>
              <w:adjustRightInd w:val="0"/>
              <w:snapToGrid w:val="0"/>
              <w:spacing w:line="340" w:lineRule="exact"/>
              <w:rPr>
                <w:rFonts w:ascii="仿宋" w:hAnsi="仿宋" w:eastAsia="仿宋"/>
                <w:color w:val="000000"/>
                <w:sz w:val="21"/>
                <w:szCs w:val="21"/>
              </w:rPr>
            </w:pPr>
          </w:p>
        </w:tc>
        <w:tc>
          <w:tcPr>
            <w:tcW w:w="2841" w:type="dxa"/>
            <w:vAlign w:val="center"/>
          </w:tcPr>
          <w:p>
            <w:pPr>
              <w:adjustRightInd w:val="0"/>
              <w:snapToGrid w:val="0"/>
              <w:spacing w:line="340" w:lineRule="exact"/>
              <w:rPr>
                <w:rFonts w:ascii="仿宋" w:hAnsi="仿宋" w:eastAsia="仿宋"/>
                <w:color w:val="000000"/>
                <w:sz w:val="21"/>
                <w:szCs w:val="21"/>
              </w:rPr>
            </w:pPr>
          </w:p>
        </w:tc>
        <w:tc>
          <w:tcPr>
            <w:tcW w:w="979" w:type="dxa"/>
            <w:vAlign w:val="center"/>
          </w:tcPr>
          <w:p>
            <w:pPr>
              <w:adjustRightInd w:val="0"/>
              <w:snapToGrid w:val="0"/>
              <w:spacing w:line="340" w:lineRule="exact"/>
              <w:rPr>
                <w:rFonts w:ascii="仿宋" w:hAnsi="仿宋" w:eastAsia="仿宋"/>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60" w:type="dxa"/>
            <w:vAlign w:val="center"/>
          </w:tcPr>
          <w:p>
            <w:pPr>
              <w:adjustRightInd w:val="0"/>
              <w:snapToGrid w:val="0"/>
              <w:spacing w:line="340" w:lineRule="exact"/>
              <w:rPr>
                <w:rFonts w:ascii="仿宋" w:hAnsi="仿宋" w:eastAsia="仿宋"/>
                <w:color w:val="000000"/>
                <w:sz w:val="21"/>
                <w:szCs w:val="21"/>
              </w:rPr>
            </w:pPr>
          </w:p>
        </w:tc>
        <w:tc>
          <w:tcPr>
            <w:tcW w:w="3376" w:type="dxa"/>
            <w:vAlign w:val="center"/>
          </w:tcPr>
          <w:p>
            <w:pPr>
              <w:adjustRightInd w:val="0"/>
              <w:snapToGrid w:val="0"/>
              <w:spacing w:line="340" w:lineRule="exact"/>
              <w:rPr>
                <w:rFonts w:ascii="仿宋" w:hAnsi="仿宋" w:eastAsia="仿宋"/>
                <w:color w:val="000000"/>
                <w:sz w:val="21"/>
                <w:szCs w:val="21"/>
              </w:rPr>
            </w:pPr>
          </w:p>
        </w:tc>
        <w:tc>
          <w:tcPr>
            <w:tcW w:w="2841" w:type="dxa"/>
            <w:vAlign w:val="center"/>
          </w:tcPr>
          <w:p>
            <w:pPr>
              <w:adjustRightInd w:val="0"/>
              <w:snapToGrid w:val="0"/>
              <w:spacing w:line="340" w:lineRule="exact"/>
              <w:rPr>
                <w:rFonts w:ascii="仿宋" w:hAnsi="仿宋" w:eastAsia="仿宋"/>
                <w:color w:val="000000"/>
                <w:sz w:val="21"/>
                <w:szCs w:val="21"/>
              </w:rPr>
            </w:pPr>
          </w:p>
        </w:tc>
        <w:tc>
          <w:tcPr>
            <w:tcW w:w="979" w:type="dxa"/>
            <w:vAlign w:val="center"/>
          </w:tcPr>
          <w:p>
            <w:pPr>
              <w:adjustRightInd w:val="0"/>
              <w:snapToGrid w:val="0"/>
              <w:spacing w:line="340" w:lineRule="exact"/>
              <w:rPr>
                <w:rFonts w:ascii="仿宋" w:hAnsi="仿宋" w:eastAsia="仿宋"/>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60" w:type="dxa"/>
            <w:vAlign w:val="center"/>
          </w:tcPr>
          <w:p>
            <w:pPr>
              <w:adjustRightInd w:val="0"/>
              <w:snapToGrid w:val="0"/>
              <w:spacing w:line="340" w:lineRule="exact"/>
              <w:rPr>
                <w:rFonts w:ascii="仿宋" w:hAnsi="仿宋" w:eastAsia="仿宋"/>
                <w:color w:val="000000"/>
                <w:sz w:val="21"/>
                <w:szCs w:val="21"/>
              </w:rPr>
            </w:pPr>
          </w:p>
        </w:tc>
        <w:tc>
          <w:tcPr>
            <w:tcW w:w="3376" w:type="dxa"/>
            <w:vAlign w:val="center"/>
          </w:tcPr>
          <w:p>
            <w:pPr>
              <w:adjustRightInd w:val="0"/>
              <w:snapToGrid w:val="0"/>
              <w:spacing w:line="340" w:lineRule="exact"/>
              <w:rPr>
                <w:rFonts w:ascii="仿宋" w:hAnsi="仿宋" w:eastAsia="仿宋"/>
                <w:color w:val="000000"/>
                <w:sz w:val="21"/>
                <w:szCs w:val="21"/>
              </w:rPr>
            </w:pPr>
          </w:p>
        </w:tc>
        <w:tc>
          <w:tcPr>
            <w:tcW w:w="2841" w:type="dxa"/>
            <w:vAlign w:val="center"/>
          </w:tcPr>
          <w:p>
            <w:pPr>
              <w:adjustRightInd w:val="0"/>
              <w:snapToGrid w:val="0"/>
              <w:spacing w:line="340" w:lineRule="exact"/>
              <w:rPr>
                <w:rFonts w:ascii="仿宋" w:hAnsi="仿宋" w:eastAsia="仿宋"/>
                <w:color w:val="000000"/>
                <w:sz w:val="21"/>
                <w:szCs w:val="21"/>
              </w:rPr>
            </w:pPr>
          </w:p>
        </w:tc>
        <w:tc>
          <w:tcPr>
            <w:tcW w:w="979" w:type="dxa"/>
            <w:vAlign w:val="center"/>
          </w:tcPr>
          <w:p>
            <w:pPr>
              <w:adjustRightInd w:val="0"/>
              <w:snapToGrid w:val="0"/>
              <w:spacing w:line="340" w:lineRule="exact"/>
              <w:rPr>
                <w:rFonts w:ascii="仿宋" w:hAnsi="仿宋" w:eastAsia="仿宋"/>
                <w:color w:val="000000"/>
                <w:sz w:val="21"/>
                <w:szCs w:val="21"/>
              </w:rPr>
            </w:pPr>
          </w:p>
        </w:tc>
      </w:tr>
    </w:tbl>
    <w:p>
      <w:pPr>
        <w:pStyle w:val="2"/>
        <w:spacing w:before="120" w:beforeLines="50"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本合同履行过程中，上述法律顾问若出现正常工作调动、离职、身体状况等方面原因的，乙方应当及时告知甲方，并由双方协商另行指派其他合适的律师接替。</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（3）</w:t>
      </w:r>
      <w:r>
        <w:rPr>
          <w:rFonts w:ascii="仿宋" w:hAnsi="仿宋" w:eastAsia="仿宋_GB2312"/>
          <w:bCs/>
          <w:sz w:val="28"/>
          <w:szCs w:val="28"/>
        </w:rPr>
        <w:t>团队负责人及主要管理人员的要求：</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提供本项目管理团队及其他主要专业人员名单：</w:t>
      </w:r>
      <w:r>
        <w:rPr>
          <w:rFonts w:ascii="仿宋" w:hAnsi="仿宋" w:eastAsia="仿宋_GB2312"/>
          <w:bCs/>
          <w:sz w:val="28"/>
          <w:szCs w:val="28"/>
          <w:u w:val="single"/>
        </w:rPr>
        <w:t xml:space="preserve">        </w:t>
      </w:r>
      <w:r>
        <w:rPr>
          <w:rFonts w:ascii="仿宋" w:hAnsi="仿宋" w:eastAsia="仿宋_GB2312"/>
          <w:bCs/>
          <w:sz w:val="28"/>
          <w:szCs w:val="28"/>
        </w:rPr>
        <w:t>（</w:t>
      </w:r>
      <w:r>
        <w:rPr>
          <w:rFonts w:ascii="楷体" w:hAnsi="楷体" w:eastAsia="楷体_GB2312"/>
          <w:bCs/>
          <w:sz w:val="24"/>
          <w:szCs w:val="28"/>
        </w:rPr>
        <w:t>按乙方投标提供的“本项目管理团队及其它主要技术人员名单”人员服务本项目，如有调整需经甲方同意，并保证项目的正常运行</w:t>
      </w:r>
      <w:r>
        <w:rPr>
          <w:rFonts w:ascii="仿宋" w:hAnsi="仿宋" w:eastAsia="仿宋_GB2312"/>
          <w:bCs/>
          <w:sz w:val="28"/>
          <w:szCs w:val="28"/>
        </w:rPr>
        <w:t>）。</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3.</w:t>
      </w:r>
      <w:r>
        <w:rPr>
          <w:rFonts w:ascii="仿宋" w:hAnsi="仿宋" w:eastAsia="仿宋_GB2312"/>
          <w:bCs/>
          <w:sz w:val="28"/>
          <w:szCs w:val="28"/>
        </w:rPr>
        <w:t>劳动安全要求：</w:t>
      </w:r>
      <w:r>
        <w:rPr>
          <w:rFonts w:ascii="仿宋" w:hAnsi="仿宋" w:eastAsia="仿宋_GB2312"/>
          <w:bCs/>
          <w:sz w:val="28"/>
          <w:szCs w:val="28"/>
          <w:u w:val="single"/>
        </w:rPr>
        <w:t xml:space="preserve">                               </w:t>
      </w:r>
      <w:r>
        <w:rPr>
          <w:rFonts w:ascii="仿宋" w:hAnsi="仿宋" w:eastAsia="仿宋_GB2312"/>
          <w:bCs/>
          <w:sz w:val="28"/>
          <w:szCs w:val="28"/>
        </w:rPr>
        <w:t>（</w:t>
      </w:r>
      <w:r>
        <w:rPr>
          <w:rFonts w:ascii="楷体" w:hAnsi="楷体" w:eastAsia="楷体_GB2312"/>
          <w:bCs/>
          <w:sz w:val="24"/>
          <w:szCs w:val="28"/>
        </w:rPr>
        <w:t>明确劳动安全工作要求及责任主体</w:t>
      </w:r>
      <w:r>
        <w:rPr>
          <w:rFonts w:ascii="仿宋" w:hAnsi="仿宋" w:eastAsia="仿宋_GB2312"/>
          <w:bCs/>
          <w:sz w:val="28"/>
          <w:szCs w:val="28"/>
        </w:rPr>
        <w:t>）。</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w:t>
      </w:r>
      <w:r>
        <w:rPr>
          <w:rFonts w:ascii="仿宋" w:hAnsi="仿宋" w:eastAsia="仿宋_GB2312"/>
          <w:bCs/>
          <w:sz w:val="28"/>
          <w:szCs w:val="28"/>
        </w:rPr>
        <w:t>保密工作要求：</w:t>
      </w:r>
      <w:r>
        <w:rPr>
          <w:rFonts w:ascii="仿宋" w:hAnsi="仿宋" w:eastAsia="仿宋_GB2312"/>
          <w:bCs/>
          <w:sz w:val="28"/>
          <w:szCs w:val="28"/>
          <w:u w:val="single"/>
        </w:rPr>
        <w:t xml:space="preserve">                               </w:t>
      </w:r>
      <w:r>
        <w:rPr>
          <w:rFonts w:ascii="仿宋" w:hAnsi="仿宋" w:eastAsia="仿宋_GB2312"/>
          <w:bCs/>
          <w:sz w:val="28"/>
          <w:szCs w:val="28"/>
        </w:rPr>
        <w:t>（</w:t>
      </w:r>
      <w:r>
        <w:rPr>
          <w:rFonts w:ascii="楷体" w:hAnsi="楷体" w:eastAsia="楷体_GB2312"/>
          <w:bCs/>
          <w:sz w:val="24"/>
          <w:szCs w:val="28"/>
        </w:rPr>
        <w:t>对法律服务工作中可能涉及的保密工作提出总体性要求</w:t>
      </w:r>
      <w:r>
        <w:rPr>
          <w:rFonts w:ascii="仿宋" w:hAnsi="仿宋" w:eastAsia="仿宋_GB2312"/>
          <w:bCs/>
          <w:sz w:val="28"/>
          <w:szCs w:val="28"/>
        </w:rPr>
        <w:t>）。</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5.</w:t>
      </w:r>
      <w:r>
        <w:rPr>
          <w:rFonts w:ascii="仿宋" w:hAnsi="仿宋" w:eastAsia="仿宋_GB2312"/>
          <w:bCs/>
          <w:sz w:val="28"/>
          <w:szCs w:val="28"/>
        </w:rPr>
        <w:t>法律服务档案：乙方应当妥善保管法律服务有关档案，本合同终止时,乙方必须向甲方移交其使用的</w:t>
      </w:r>
      <w:r>
        <w:rPr>
          <w:rFonts w:ascii="仿宋" w:hAnsi="仿宋" w:eastAsia="仿宋_GB2312"/>
          <w:bCs/>
          <w:sz w:val="28"/>
          <w:szCs w:val="28"/>
          <w:u w:val="single"/>
        </w:rPr>
        <w:t xml:space="preserve">          </w:t>
      </w:r>
      <w:r>
        <w:rPr>
          <w:rFonts w:ascii="仿宋" w:hAnsi="仿宋" w:eastAsia="仿宋_GB2312"/>
          <w:bCs/>
          <w:sz w:val="28"/>
          <w:szCs w:val="28"/>
        </w:rPr>
        <w:t>等全部档案资料及属于甲方的办公用品和工具（</w:t>
      </w:r>
      <w:r>
        <w:rPr>
          <w:rFonts w:ascii="楷体" w:hAnsi="楷体" w:eastAsia="楷体_GB2312"/>
          <w:bCs/>
          <w:sz w:val="24"/>
          <w:szCs w:val="28"/>
        </w:rPr>
        <w:t>明确乙方必须向甲方移交的档案资料</w:t>
      </w:r>
      <w:r>
        <w:rPr>
          <w:rFonts w:ascii="仿宋" w:hAnsi="仿宋" w:eastAsia="仿宋_GB2312"/>
          <w:bCs/>
          <w:sz w:val="28"/>
          <w:szCs w:val="28"/>
        </w:rPr>
        <w:t>）。</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6.</w:t>
      </w:r>
      <w:r>
        <w:rPr>
          <w:rFonts w:ascii="仿宋" w:hAnsi="仿宋" w:eastAsia="仿宋_GB2312"/>
          <w:bCs/>
          <w:sz w:val="28"/>
          <w:szCs w:val="28"/>
        </w:rPr>
        <w:t>乙方律师办理甲方委托代理事项所发生的下列工作费用，应当由甲方承担：</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（1）相关行政、司法、鉴定、公证等部门收取的费用。</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w:t>
      </w:r>
      <w:r>
        <w:rPr>
          <w:rFonts w:ascii="仿宋" w:hAnsi="仿宋" w:eastAsia="仿宋_GB2312"/>
          <w:bCs/>
          <w:sz w:val="28"/>
          <w:szCs w:val="28"/>
        </w:rPr>
        <w:t>市外发生的差旅费、食宿费、翻译费、复印费、资料费、长途通讯费等，由甲方支付乙方工作费用</w:t>
      </w:r>
      <w:r>
        <w:rPr>
          <w:rFonts w:ascii="仿宋" w:hAnsi="仿宋" w:eastAsia="仿宋_GB2312"/>
          <w:bCs/>
          <w:sz w:val="28"/>
          <w:szCs w:val="28"/>
          <w:u w:val="single"/>
        </w:rPr>
        <w:t xml:space="preserve">     </w:t>
      </w:r>
      <w:r>
        <w:rPr>
          <w:rFonts w:ascii="仿宋" w:hAnsi="仿宋" w:eastAsia="仿宋_GB2312"/>
          <w:bCs/>
          <w:sz w:val="28"/>
          <w:szCs w:val="28"/>
        </w:rPr>
        <w:t>元，</w:t>
      </w:r>
      <w:r>
        <w:rPr>
          <w:rFonts w:ascii="仿宋" w:hAnsi="仿宋" w:eastAsia="仿宋_GB2312"/>
          <w:bCs/>
          <w:sz w:val="28"/>
          <w:szCs w:val="28"/>
          <w:u w:val="single"/>
        </w:rPr>
        <w:t xml:space="preserve">     </w:t>
      </w:r>
      <w:r>
        <w:rPr>
          <w:rFonts w:ascii="仿宋" w:hAnsi="仿宋" w:eastAsia="仿宋_GB2312"/>
          <w:bCs/>
          <w:sz w:val="28"/>
          <w:szCs w:val="28"/>
        </w:rPr>
        <w:t>年</w:t>
      </w:r>
      <w:r>
        <w:rPr>
          <w:rFonts w:ascii="仿宋" w:hAnsi="仿宋" w:eastAsia="仿宋_GB2312"/>
          <w:bCs/>
          <w:sz w:val="28"/>
          <w:szCs w:val="28"/>
          <w:u w:val="single"/>
        </w:rPr>
        <w:t xml:space="preserve">     </w:t>
      </w:r>
      <w:r>
        <w:rPr>
          <w:rFonts w:ascii="仿宋" w:hAnsi="仿宋" w:eastAsia="仿宋_GB2312"/>
          <w:bCs/>
          <w:sz w:val="28"/>
          <w:szCs w:val="28"/>
        </w:rPr>
        <w:t>月</w:t>
      </w:r>
      <w:r>
        <w:rPr>
          <w:rFonts w:ascii="仿宋" w:hAnsi="仿宋" w:eastAsia="仿宋_GB2312"/>
          <w:bCs/>
          <w:sz w:val="28"/>
          <w:szCs w:val="28"/>
          <w:u w:val="single"/>
        </w:rPr>
        <w:t xml:space="preserve">    </w:t>
      </w:r>
      <w:r>
        <w:rPr>
          <w:rFonts w:ascii="仿宋" w:hAnsi="仿宋" w:eastAsia="仿宋_GB2312"/>
          <w:bCs/>
          <w:sz w:val="28"/>
          <w:szCs w:val="28"/>
        </w:rPr>
        <w:t>日前付清。（</w:t>
      </w:r>
      <w:r>
        <w:rPr>
          <w:rFonts w:ascii="楷体" w:hAnsi="楷体" w:eastAsia="楷体_GB2312"/>
          <w:bCs/>
          <w:sz w:val="24"/>
          <w:szCs w:val="28"/>
        </w:rPr>
        <w:t>可以采用以下方式</w:t>
      </w:r>
      <w:r>
        <w:rPr>
          <w:rFonts w:ascii="仿宋" w:hAnsi="仿宋" w:eastAsia="仿宋_GB2312"/>
          <w:bCs/>
          <w:sz w:val="28"/>
          <w:szCs w:val="28"/>
        </w:rPr>
        <w:t>）：</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□包干使用。</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□凭票支付。</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（3）</w:t>
      </w:r>
      <w:r>
        <w:rPr>
          <w:rFonts w:ascii="仿宋" w:hAnsi="仿宋" w:eastAsia="仿宋_GB2312"/>
          <w:bCs/>
          <w:sz w:val="28"/>
          <w:szCs w:val="28"/>
        </w:rPr>
        <w:t>征得甲方同意后支出的其他费用。</w:t>
      </w:r>
    </w:p>
    <w:p>
      <w:pPr>
        <w:pStyle w:val="2"/>
        <w:spacing w:after="0" w:line="530" w:lineRule="exact"/>
        <w:ind w:firstLine="560" w:firstLineChars="200"/>
      </w:pPr>
      <w:r>
        <w:rPr>
          <w:rFonts w:hint="eastAsia" w:ascii="仿宋_GB2312" w:hAnsi="仿宋_GB2312" w:eastAsia="仿宋_GB2312" w:cs="仿宋_GB2312"/>
          <w:bCs/>
          <w:sz w:val="28"/>
          <w:szCs w:val="28"/>
        </w:rPr>
        <w:t>7.</w:t>
      </w:r>
      <w:r>
        <w:rPr>
          <w:rFonts w:ascii="仿宋" w:hAnsi="仿宋" w:eastAsia="仿宋_GB2312"/>
          <w:bCs/>
          <w:sz w:val="28"/>
          <w:szCs w:val="28"/>
        </w:rPr>
        <w:t>其他：</w:t>
      </w:r>
      <w:r>
        <w:rPr>
          <w:rFonts w:ascii="仿宋" w:hAnsi="仿宋" w:eastAsia="仿宋_GB2312"/>
          <w:bCs/>
          <w:sz w:val="28"/>
          <w:szCs w:val="28"/>
          <w:u w:val="single"/>
        </w:rPr>
        <w:t xml:space="preserve">                               </w:t>
      </w:r>
      <w:r>
        <w:rPr>
          <w:rFonts w:ascii="仿宋" w:hAnsi="仿宋" w:eastAsia="仿宋_GB2312"/>
          <w:bCs/>
          <w:sz w:val="28"/>
          <w:szCs w:val="28"/>
        </w:rPr>
        <w:t>（</w:t>
      </w:r>
      <w:r>
        <w:rPr>
          <w:rFonts w:ascii="楷体" w:hAnsi="楷体" w:eastAsia="楷体_GB2312"/>
          <w:bCs/>
          <w:sz w:val="24"/>
          <w:szCs w:val="28"/>
        </w:rPr>
        <w:t>上述各项要求之外，根据项目特点提出的其他要求</w:t>
      </w:r>
      <w:r>
        <w:rPr>
          <w:rFonts w:ascii="仿宋" w:hAnsi="仿宋" w:eastAsia="仿宋_GB2312"/>
          <w:bCs/>
          <w:sz w:val="28"/>
          <w:szCs w:val="28"/>
        </w:rPr>
        <w:t>）。</w:t>
      </w:r>
    </w:p>
    <w:p>
      <w:pPr>
        <w:pStyle w:val="6"/>
        <w:keepNext w:val="0"/>
        <w:keepLines w:val="0"/>
        <w:adjustRightInd w:val="0"/>
        <w:spacing w:before="0" w:after="120" w:afterLines="50" w:line="530" w:lineRule="exact"/>
        <w:ind w:firstLine="560" w:firstLineChars="200"/>
        <w:rPr>
          <w:rFonts w:ascii="黑体" w:hAnsi="黑体"/>
          <w:b w:val="0"/>
          <w:bCs w:val="0"/>
        </w:rPr>
      </w:pPr>
      <w:r>
        <w:rPr>
          <w:rFonts w:hint="eastAsia" w:ascii="黑体" w:hAnsi="黑体"/>
          <w:b w:val="0"/>
          <w:bCs w:val="0"/>
        </w:rPr>
        <w:t>□五、</w:t>
      </w:r>
      <w:bookmarkStart w:id="2" w:name="_Hlk129352073"/>
      <w:r>
        <w:rPr>
          <w:rFonts w:hint="eastAsia" w:ascii="黑体" w:hAnsi="黑体"/>
          <w:b w:val="0"/>
          <w:bCs w:val="0"/>
        </w:rPr>
        <w:t>服务实施分期考核内容及标准</w:t>
      </w:r>
      <w:bookmarkEnd w:id="2"/>
    </w:p>
    <w:tbl>
      <w:tblPr>
        <w:tblStyle w:val="13"/>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2086"/>
        <w:gridCol w:w="2506"/>
        <w:gridCol w:w="230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序号</w:t>
            </w:r>
          </w:p>
        </w:tc>
        <w:tc>
          <w:tcPr>
            <w:tcW w:w="2086"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考核部位或场所</w:t>
            </w:r>
          </w:p>
        </w:tc>
        <w:tc>
          <w:tcPr>
            <w:tcW w:w="2506"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考核内容</w:t>
            </w:r>
          </w:p>
        </w:tc>
        <w:tc>
          <w:tcPr>
            <w:tcW w:w="2300"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考核标准</w:t>
            </w:r>
          </w:p>
        </w:tc>
        <w:tc>
          <w:tcPr>
            <w:tcW w:w="939"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1</w:t>
            </w:r>
          </w:p>
        </w:tc>
        <w:tc>
          <w:tcPr>
            <w:tcW w:w="2086" w:type="dxa"/>
            <w:vAlign w:val="center"/>
          </w:tcPr>
          <w:p>
            <w:pPr>
              <w:adjustRightInd w:val="0"/>
              <w:snapToGrid w:val="0"/>
              <w:spacing w:line="340" w:lineRule="exact"/>
              <w:jc w:val="center"/>
              <w:rPr>
                <w:rFonts w:ascii="仿宋" w:hAnsi="仿宋" w:eastAsia="仿宋"/>
                <w:sz w:val="21"/>
                <w:szCs w:val="21"/>
              </w:rPr>
            </w:pPr>
          </w:p>
        </w:tc>
        <w:tc>
          <w:tcPr>
            <w:tcW w:w="2506" w:type="dxa"/>
            <w:vAlign w:val="center"/>
          </w:tcPr>
          <w:p>
            <w:pPr>
              <w:adjustRightInd w:val="0"/>
              <w:snapToGrid w:val="0"/>
              <w:spacing w:line="340" w:lineRule="exact"/>
              <w:jc w:val="center"/>
              <w:rPr>
                <w:rFonts w:ascii="仿宋" w:hAnsi="仿宋" w:eastAsia="仿宋"/>
                <w:sz w:val="21"/>
                <w:szCs w:val="21"/>
              </w:rPr>
            </w:pPr>
          </w:p>
        </w:tc>
        <w:tc>
          <w:tcPr>
            <w:tcW w:w="2300" w:type="dxa"/>
            <w:vAlign w:val="center"/>
          </w:tcPr>
          <w:p>
            <w:pPr>
              <w:adjustRightInd w:val="0"/>
              <w:snapToGrid w:val="0"/>
              <w:spacing w:line="340" w:lineRule="exact"/>
              <w:jc w:val="center"/>
              <w:rPr>
                <w:rFonts w:ascii="仿宋" w:hAnsi="仿宋" w:eastAsia="仿宋"/>
                <w:sz w:val="21"/>
                <w:szCs w:val="21"/>
              </w:rPr>
            </w:pPr>
          </w:p>
        </w:tc>
        <w:tc>
          <w:tcPr>
            <w:tcW w:w="939" w:type="dxa"/>
            <w:vAlign w:val="center"/>
          </w:tcPr>
          <w:p>
            <w:pPr>
              <w:adjustRightInd w:val="0"/>
              <w:snapToGrid w:val="0"/>
              <w:spacing w:line="340" w:lineRule="exact"/>
              <w:jc w:val="center"/>
              <w:rPr>
                <w:rFonts w:ascii="仿宋" w:hAnsi="仿宋"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2</w:t>
            </w:r>
          </w:p>
        </w:tc>
        <w:tc>
          <w:tcPr>
            <w:tcW w:w="2086" w:type="dxa"/>
            <w:vAlign w:val="center"/>
          </w:tcPr>
          <w:p>
            <w:pPr>
              <w:adjustRightInd w:val="0"/>
              <w:snapToGrid w:val="0"/>
              <w:spacing w:line="340" w:lineRule="exact"/>
              <w:jc w:val="center"/>
              <w:rPr>
                <w:rFonts w:ascii="仿宋" w:hAnsi="仿宋" w:eastAsia="仿宋"/>
                <w:sz w:val="21"/>
                <w:szCs w:val="21"/>
              </w:rPr>
            </w:pPr>
          </w:p>
        </w:tc>
        <w:tc>
          <w:tcPr>
            <w:tcW w:w="2506" w:type="dxa"/>
            <w:vAlign w:val="center"/>
          </w:tcPr>
          <w:p>
            <w:pPr>
              <w:adjustRightInd w:val="0"/>
              <w:snapToGrid w:val="0"/>
              <w:spacing w:line="340" w:lineRule="exact"/>
              <w:jc w:val="center"/>
              <w:rPr>
                <w:rFonts w:ascii="仿宋" w:hAnsi="仿宋" w:eastAsia="仿宋"/>
                <w:sz w:val="21"/>
                <w:szCs w:val="21"/>
              </w:rPr>
            </w:pPr>
          </w:p>
        </w:tc>
        <w:tc>
          <w:tcPr>
            <w:tcW w:w="2300" w:type="dxa"/>
            <w:vAlign w:val="center"/>
          </w:tcPr>
          <w:p>
            <w:pPr>
              <w:adjustRightInd w:val="0"/>
              <w:snapToGrid w:val="0"/>
              <w:spacing w:line="340" w:lineRule="exact"/>
              <w:jc w:val="center"/>
              <w:rPr>
                <w:rFonts w:ascii="仿宋" w:hAnsi="仿宋" w:eastAsia="仿宋"/>
                <w:sz w:val="21"/>
                <w:szCs w:val="21"/>
              </w:rPr>
            </w:pPr>
          </w:p>
        </w:tc>
        <w:tc>
          <w:tcPr>
            <w:tcW w:w="939" w:type="dxa"/>
            <w:vAlign w:val="center"/>
          </w:tcPr>
          <w:p>
            <w:pPr>
              <w:adjustRightInd w:val="0"/>
              <w:snapToGrid w:val="0"/>
              <w:spacing w:line="340" w:lineRule="exact"/>
              <w:jc w:val="center"/>
              <w:rPr>
                <w:rFonts w:ascii="仿宋" w:hAnsi="仿宋"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bCs/>
                <w:spacing w:val="-4"/>
                <w:sz w:val="21"/>
                <w:szCs w:val="21"/>
              </w:rPr>
              <w:t>…</w:t>
            </w:r>
          </w:p>
        </w:tc>
        <w:tc>
          <w:tcPr>
            <w:tcW w:w="2086" w:type="dxa"/>
            <w:vAlign w:val="center"/>
          </w:tcPr>
          <w:p>
            <w:pPr>
              <w:adjustRightInd w:val="0"/>
              <w:snapToGrid w:val="0"/>
              <w:spacing w:line="340" w:lineRule="exact"/>
              <w:jc w:val="center"/>
              <w:rPr>
                <w:rFonts w:ascii="仿宋" w:hAnsi="仿宋" w:eastAsia="仿宋"/>
                <w:sz w:val="21"/>
                <w:szCs w:val="21"/>
              </w:rPr>
            </w:pPr>
          </w:p>
        </w:tc>
        <w:tc>
          <w:tcPr>
            <w:tcW w:w="2506" w:type="dxa"/>
            <w:vAlign w:val="center"/>
          </w:tcPr>
          <w:p>
            <w:pPr>
              <w:adjustRightInd w:val="0"/>
              <w:snapToGrid w:val="0"/>
              <w:spacing w:line="340" w:lineRule="exact"/>
              <w:jc w:val="center"/>
              <w:rPr>
                <w:rFonts w:ascii="仿宋" w:hAnsi="仿宋" w:eastAsia="仿宋"/>
                <w:sz w:val="21"/>
                <w:szCs w:val="21"/>
              </w:rPr>
            </w:pPr>
          </w:p>
        </w:tc>
        <w:tc>
          <w:tcPr>
            <w:tcW w:w="2300" w:type="dxa"/>
            <w:vAlign w:val="center"/>
          </w:tcPr>
          <w:p>
            <w:pPr>
              <w:adjustRightInd w:val="0"/>
              <w:snapToGrid w:val="0"/>
              <w:spacing w:line="340" w:lineRule="exact"/>
              <w:jc w:val="center"/>
              <w:rPr>
                <w:rFonts w:ascii="仿宋" w:hAnsi="仿宋" w:eastAsia="仿宋"/>
                <w:sz w:val="21"/>
                <w:szCs w:val="21"/>
              </w:rPr>
            </w:pPr>
          </w:p>
        </w:tc>
        <w:tc>
          <w:tcPr>
            <w:tcW w:w="939" w:type="dxa"/>
            <w:vAlign w:val="center"/>
          </w:tcPr>
          <w:p>
            <w:pPr>
              <w:adjustRightInd w:val="0"/>
              <w:snapToGrid w:val="0"/>
              <w:spacing w:line="340" w:lineRule="exact"/>
              <w:jc w:val="center"/>
              <w:rPr>
                <w:rFonts w:ascii="仿宋" w:hAnsi="仿宋" w:eastAsia="仿宋"/>
                <w:sz w:val="21"/>
                <w:szCs w:val="21"/>
              </w:rPr>
            </w:pPr>
          </w:p>
        </w:tc>
      </w:tr>
    </w:tbl>
    <w:p>
      <w:pPr>
        <w:pStyle w:val="6"/>
        <w:keepNext w:val="0"/>
        <w:keepLines w:val="0"/>
        <w:adjustRightInd w:val="0"/>
        <w:spacing w:before="120" w:beforeLines="50" w:after="0" w:line="530" w:lineRule="exact"/>
        <w:ind w:firstLine="560" w:firstLineChars="200"/>
        <w:rPr>
          <w:rFonts w:ascii="黑体" w:hAnsi="黑体"/>
          <w:b w:val="0"/>
          <w:bCs w:val="0"/>
        </w:rPr>
      </w:pPr>
      <w:r>
        <w:rPr>
          <w:rFonts w:hint="eastAsia" w:ascii="黑体" w:hAnsi="黑体"/>
          <w:b w:val="0"/>
          <w:bCs w:val="0"/>
        </w:rPr>
        <w:t>六、履约验收</w:t>
      </w:r>
    </w:p>
    <w:p>
      <w:pPr>
        <w:adjustRightInd w:val="0"/>
        <w:spacing w:line="530" w:lineRule="exact"/>
        <w:ind w:firstLine="560" w:firstLineChars="200"/>
        <w:rPr>
          <w:rFonts w:ascii="楷体" w:hAnsi="楷体" w:eastAsia="楷体_GB2312"/>
          <w:bCs/>
          <w:sz w:val="28"/>
          <w:szCs w:val="28"/>
        </w:rPr>
      </w:pPr>
      <w:r>
        <w:rPr>
          <w:rFonts w:hint="eastAsia" w:ascii="仿宋" w:hAnsi="仿宋" w:eastAsia="仿宋_GB2312"/>
          <w:bCs/>
          <w:sz w:val="28"/>
          <w:szCs w:val="28"/>
        </w:rPr>
        <w:t>本合同交付服务的履约验收，其方式、程序、内容和验收标准等事项，按甲方规定执行。</w:t>
      </w:r>
      <w:r>
        <w:rPr>
          <w:rFonts w:hint="eastAsia" w:ascii="楷体" w:hAnsi="楷体" w:eastAsia="楷体_GB2312" w:cs="楷体_GB2312"/>
          <w:bCs/>
          <w:sz w:val="24"/>
        </w:rPr>
        <w:t>（应在采购文件中予以明确，特别是涉及经费事项）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w:t>
      </w:r>
      <w:bookmarkStart w:id="3" w:name="_Hlk129347058"/>
      <w:r>
        <w:rPr>
          <w:rFonts w:hint="eastAsia" w:ascii="仿宋" w:hAnsi="仿宋" w:eastAsia="仿宋_GB2312"/>
          <w:bCs/>
          <w:sz w:val="28"/>
          <w:szCs w:val="28"/>
        </w:rPr>
        <w:t>服务</w:t>
      </w:r>
      <w:bookmarkEnd w:id="3"/>
      <w:r>
        <w:rPr>
          <w:rFonts w:hint="eastAsia" w:ascii="仿宋" w:hAnsi="仿宋" w:eastAsia="仿宋_GB2312"/>
          <w:bCs/>
          <w:sz w:val="28"/>
          <w:szCs w:val="28"/>
        </w:rPr>
        <w:t>分期考核验收</w:t>
      </w:r>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1.甲方按合同约定的分期考核内容、标准对乙方实施的服务进行验收。</w:t>
      </w:r>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2.合同约定的分期考核内容包括日常督导考核、岗位督查、专项检查、特殊部位或者场所检查、满意度调查、合同履约综合评价等。</w:t>
      </w:r>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（1）日常督导考核。甲方按考核标准对乙方实施的服务进行日常巡查，发现问题告知乙方，并做好督查记录。甲方根据乙方改进情况和问题的严重程度，按考核标准对乙方进行处理。</w:t>
      </w:r>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（2）岗位督查。甲方按考核标准检查乙方服务人员到岗情况，发现缺岗的，甲方按考核标准对乙方进行处理。</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（3）专项检查</w:t>
      </w:r>
      <w:r>
        <w:rPr>
          <w:rFonts w:hint="eastAsia" w:ascii="仿宋" w:hAnsi="仿宋" w:eastAsia="仿宋_GB2312"/>
          <w:bCs/>
          <w:sz w:val="28"/>
          <w:szCs w:val="28"/>
        </w:rPr>
        <w:t>。甲方针对服务的重点、难点问题或管理要求进行专项检查，双方共同记录。乙方对甲方在专项检查中发现问题，应当予以整改。乙方问题多次出现或整改不力的，甲方按考核标准进行处理。</w:t>
      </w:r>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（4）特殊部位或者场所检查。甲方对服务区域的特殊部位或者场所进行检查，发现问题甲方按考核标准对乙方进行处理。</w:t>
      </w:r>
    </w:p>
    <w:p>
      <w:pPr>
        <w:adjustRightInd w:val="0"/>
        <w:spacing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（5）满意度调查：甲方按合同约定的考核时间组织服务对象或者委托第三方对服务效果进行满意度调查。甲方根据调查结果，按考核标准对乙方进行奖励或处罚。</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（6）合同履</w:t>
      </w:r>
      <w:r>
        <w:rPr>
          <w:rFonts w:hint="eastAsia" w:ascii="仿宋" w:hAnsi="仿宋" w:eastAsia="仿宋_GB2312"/>
          <w:bCs/>
          <w:sz w:val="28"/>
          <w:szCs w:val="28"/>
        </w:rPr>
        <w:t>约综合评价：甲方按合同约定的考核时间对乙方合同履行情况进行综合评价，综合评价可作为款项支付以及续签合同的依据。</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3.</w:t>
      </w:r>
      <w:r>
        <w:rPr>
          <w:rFonts w:hint="eastAsia" w:ascii="仿宋" w:hAnsi="仿宋" w:eastAsia="仿宋_GB2312"/>
          <w:bCs/>
          <w:sz w:val="28"/>
          <w:szCs w:val="28"/>
        </w:rPr>
        <w:t>服务分期考核内容、标准：</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4.服</w:t>
      </w:r>
      <w:r>
        <w:rPr>
          <w:rFonts w:hint="eastAsia" w:ascii="仿宋" w:hAnsi="仿宋" w:eastAsia="仿宋_GB2312"/>
          <w:bCs/>
          <w:sz w:val="28"/>
          <w:szCs w:val="28"/>
        </w:rPr>
        <w:t>务分期考核验收的其他要求：</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5.考</w:t>
      </w:r>
      <w:r>
        <w:rPr>
          <w:rFonts w:hint="eastAsia" w:ascii="仿宋" w:hAnsi="仿宋" w:eastAsia="仿宋_GB2312"/>
          <w:bCs/>
          <w:sz w:val="28"/>
          <w:szCs w:val="28"/>
        </w:rPr>
        <w:t>核的其他要求：</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□（二）验收的其他要求：</w:t>
      </w:r>
      <w:r>
        <w:rPr>
          <w:rFonts w:hint="eastAsia" w:ascii="仿宋" w:hAnsi="仿宋" w:eastAsia="仿宋_GB2312"/>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□七、保密要求</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□八、履约保证金</w:t>
      </w:r>
      <w:r>
        <w:rPr>
          <w:rFonts w:hint="eastAsia" w:ascii="楷体" w:hAnsi="楷体" w:eastAsia="楷体_GB2312"/>
          <w:b w:val="0"/>
          <w:bCs w:val="0"/>
          <w:sz w:val="24"/>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bCs/>
          <w:sz w:val="28"/>
          <w:szCs w:val="28"/>
          <w:lang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（二）乙方在合同履行过程中存在违约行为，合同被甲方终止的，甲方有权没收乙方履约保证金。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（三）履约保证金在合同最终支付结算时，无息返还。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（四）乙方应当向甲方支付合同项下的违约金或赔偿金时，甲方有权从履约保证金中予以扣除。</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九、资金结算</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（一）合同约定采用下列之一的方式进行资金结算：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本合同无</w:t>
      </w:r>
      <w:r>
        <w:rPr>
          <w:rFonts w:hint="eastAsia" w:ascii="仿宋_GB2312" w:hAnsi="仿宋_GB2312" w:eastAsia="仿宋_GB2312" w:cs="仿宋_GB2312"/>
          <w:bCs/>
          <w:sz w:val="28"/>
          <w:szCs w:val="28"/>
          <w:lang w:val="zh-CN"/>
        </w:rPr>
        <w:t>预付款，服务完成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后，乙方收集发票、验收报告等</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，提交</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办理结算手续，</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_GB2312" w:hAnsi="仿宋_GB2312" w:eastAsia="仿宋_GB2312" w:cs="仿宋_GB2312"/>
          <w:bCs/>
          <w:sz w:val="28"/>
          <w:szCs w:val="28"/>
          <w:u w:val="single"/>
          <w:lang w:val="zh-CN"/>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lang w:val="zh-CN"/>
        </w:rPr>
        <w:t>日内向乙方支付</w:t>
      </w:r>
      <w:r>
        <w:rPr>
          <w:rFonts w:hint="eastAsia" w:cs="仿宋_GB2312"/>
          <w:bCs/>
          <w:sz w:val="28"/>
          <w:szCs w:val="28"/>
          <w:lang w:val="zh-CN"/>
        </w:rPr>
        <w:t>全部合同款项，即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w:t>
      </w:r>
      <w:r>
        <w:rPr>
          <w:rFonts w:hint="eastAsia" w:ascii="楷体_GB2312" w:hAnsi="楷体_GB2312" w:eastAsia="楷体_GB2312" w:cs="楷体_GB2312"/>
          <w:bCs/>
          <w:sz w:val="24"/>
          <w:szCs w:val="24"/>
        </w:rPr>
        <w:t>（适用于采购金额小履约周期短的采购项目）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lang w:val="zh-CN"/>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合同签订后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lang w:val="zh-CN"/>
        </w:rPr>
        <w:t>，即</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w:t>
      </w:r>
      <w:r>
        <w:rPr>
          <w:rFonts w:hint="eastAsia" w:ascii="仿宋_GB2312" w:hAnsi="仿宋_GB2312" w:eastAsia="仿宋_GB2312" w:cs="仿宋_GB2312"/>
          <w:bCs/>
          <w:sz w:val="28"/>
          <w:szCs w:val="28"/>
          <w:lang w:val="zh-CN"/>
        </w:rPr>
        <w:t>，服务完成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后，乙方向</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提交发票、验收报告等结算</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_GB2312" w:hAnsi="仿宋_GB2312" w:eastAsia="仿宋_GB2312" w:cs="仿宋_GB2312"/>
          <w:bCs/>
          <w:sz w:val="28"/>
          <w:szCs w:val="28"/>
          <w:lang w:val="zh-CN"/>
        </w:rPr>
        <w:t>日内</w:t>
      </w:r>
      <w:r>
        <w:rPr>
          <w:rFonts w:hint="eastAsia" w:ascii="仿宋" w:hAnsi="仿宋" w:eastAsia="仿宋_GB2312"/>
          <w:bCs/>
          <w:sz w:val="28"/>
          <w:szCs w:val="28"/>
          <w:lang w:val="zh-CN"/>
        </w:rPr>
        <w:t>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楷体_GB2312" w:hAnsi="楷体_GB2312" w:eastAsia="楷体_GB2312" w:cs="楷体_GB2312"/>
          <w:bCs/>
          <w:sz w:val="24"/>
          <w:szCs w:val="24"/>
          <w:u w:val="none"/>
          <w:lang w:val="zh-CN"/>
        </w:rPr>
      </w:pP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 w:hAnsi="仿宋" w:eastAsia="仿宋_GB2312"/>
          <w:bCs/>
          <w:sz w:val="28"/>
          <w:szCs w:val="28"/>
          <w:u w:val="single"/>
          <w:lang w:val="zh-CN"/>
        </w:rPr>
        <w:t xml:space="preserve">                               </w:t>
      </w:r>
    </w:p>
    <w:p>
      <w:pPr>
        <w:adjustRightInd w:val="0"/>
        <w:spacing w:line="530" w:lineRule="exact"/>
        <w:ind w:firstLine="560" w:firstLineChars="200"/>
        <w:rPr>
          <w:rFonts w:ascii="仿宋" w:hAnsi="仿宋" w:eastAsia="仿宋_GB2312"/>
          <w:bCs/>
          <w:sz w:val="28"/>
          <w:szCs w:val="28"/>
        </w:rPr>
      </w:pPr>
      <w:bookmarkStart w:id="4" w:name="_Hlk129354415"/>
      <w:r>
        <w:rPr>
          <w:rFonts w:hint="eastAsia" w:ascii="仿宋" w:hAnsi="仿宋" w:eastAsia="仿宋_GB2312"/>
          <w:bCs/>
          <w:sz w:val="28"/>
          <w:szCs w:val="28"/>
        </w:rPr>
        <w:t>（二）乙方应当向甲方支付合同项下的违约金或赔偿金时，甲方有权从上述任何一笔应当付款中予以扣除。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（三）在结算过程中，乙方出具虚假发票或其他虚假材料的，按照提供虚假材料情况处理。</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（四）未经军队采购平台合同管理信息系统编号或者未按照要求进行备案的物资工程服务采购合同书，不得办理支付手续。</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5" w:name="_Hlk129348417"/>
      <w:r>
        <w:rPr>
          <w:rFonts w:hint="eastAsia" w:ascii="仿宋_GB2312" w:hAnsi="仿宋_GB2312" w:eastAsia="仿宋_GB2312" w:cs="仿宋_GB2312"/>
          <w:bCs/>
          <w:sz w:val="28"/>
          <w:szCs w:val="28"/>
        </w:rPr>
        <w:t>（一）乙方未经甲方同意而延期履行的，应当向甲方偿付违约金，违约金每天按合同金额的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计算，违约金最高限额为合同金额的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。如果达到违约金最高限额时仍不能履行，或</w:t>
      </w:r>
      <w:r>
        <w:rPr>
          <w:rFonts w:hint="eastAsia" w:cs="仿宋_GB2312"/>
          <w:bCs/>
          <w:sz w:val="28"/>
          <w:szCs w:val="28"/>
          <w:lang w:eastAsia="zh-CN"/>
        </w:rPr>
        <w:t>因延期履行</w:t>
      </w:r>
      <w:r>
        <w:rPr>
          <w:rFonts w:hint="eastAsia" w:ascii="仿宋_GB2312" w:hAnsi="仿宋_GB2312" w:eastAsia="仿宋_GB2312" w:cs="仿宋_GB2312"/>
          <w:bCs/>
          <w:sz w:val="28"/>
          <w:szCs w:val="28"/>
        </w:rPr>
        <w:t>影响甲方任务实施，甲方可以终止合同，而由此给甲方造成的实际损失，乙方应当给予足额赔偿。</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_GB2312" w:hAnsi="仿宋_GB2312" w:eastAsia="仿宋_GB2312" w:cs="仿宋_GB2312"/>
          <w:bCs/>
          <w:sz w:val="28"/>
          <w:szCs w:val="28"/>
        </w:rPr>
        <w:t>（二）</w:t>
      </w:r>
      <w:bookmarkEnd w:id="5"/>
      <w:bookmarkStart w:id="6" w:name="_Hlk129350035"/>
      <w:r>
        <w:rPr>
          <w:rFonts w:hint="eastAsia" w:ascii="仿宋_GB2312" w:hAnsi="仿宋_GB2312" w:eastAsia="仿宋_GB2312" w:cs="仿宋_GB2312"/>
          <w:bCs/>
          <w:sz w:val="28"/>
          <w:szCs w:val="28"/>
        </w:rPr>
        <w:t>乙方</w:t>
      </w:r>
      <w:bookmarkEnd w:id="6"/>
      <w:r>
        <w:rPr>
          <w:rFonts w:hint="eastAsia" w:ascii="仿宋_GB2312" w:hAnsi="仿宋_GB2312" w:eastAsia="仿宋_GB2312" w:cs="仿宋_GB2312"/>
          <w:bCs/>
          <w:sz w:val="28"/>
          <w:szCs w:val="28"/>
        </w:rPr>
        <w:t>不能满足</w:t>
      </w:r>
      <w:bookmarkStart w:id="7" w:name="_Hlk129355209"/>
      <w:r>
        <w:rPr>
          <w:rFonts w:hint="eastAsia" w:ascii="仿宋_GB2312" w:hAnsi="仿宋_GB2312" w:eastAsia="仿宋_GB2312" w:cs="仿宋_GB2312"/>
          <w:bCs/>
          <w:sz w:val="28"/>
          <w:szCs w:val="28"/>
        </w:rPr>
        <w:t>合同约定</w:t>
      </w:r>
      <w:bookmarkEnd w:id="7"/>
      <w:r>
        <w:rPr>
          <w:rFonts w:hint="eastAsia" w:ascii="仿宋_GB2312" w:hAnsi="仿宋_GB2312" w:eastAsia="仿宋_GB2312" w:cs="仿宋_GB2312"/>
          <w:bCs/>
          <w:sz w:val="28"/>
          <w:szCs w:val="28"/>
        </w:rPr>
        <w:t>的服务内容和标准等要求的，甲方可按</w:t>
      </w:r>
      <w:r>
        <w:rPr>
          <w:rFonts w:hint="eastAsia" w:ascii="仿宋" w:hAnsi="仿宋" w:eastAsia="仿宋_GB2312"/>
          <w:bCs/>
          <w:sz w:val="28"/>
          <w:szCs w:val="28"/>
        </w:rPr>
        <w:t>合同约定的分期考核标准扣减相应的服务酬金。因乙方违反合同约定给甲方造成损失的，乙方应当赔偿甲方损失。</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（三）甲方需按约定及时足额支付服务款，未按约定及时足额支付服</w:t>
      </w:r>
      <w:r>
        <w:rPr>
          <w:rFonts w:hint="eastAsia" w:ascii="仿宋_GB2312" w:hAnsi="仿宋_GB2312" w:eastAsia="仿宋_GB2312" w:cs="仿宋_GB2312"/>
          <w:bCs/>
          <w:sz w:val="28"/>
          <w:szCs w:val="28"/>
        </w:rPr>
        <w:t>务款时，甲方向乙方偿付违约金。每迟付一天按</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（通常为1‰-1%，可按照项目实际情况设定）</w:t>
      </w:r>
      <w:r>
        <w:rPr>
          <w:rFonts w:hint="eastAsia" w:ascii="仿宋_GB2312" w:hAnsi="仿宋_GB2312" w:eastAsia="仿宋_GB2312" w:cs="仿宋_GB2312"/>
          <w:bCs/>
          <w:sz w:val="28"/>
          <w:szCs w:val="28"/>
        </w:rPr>
        <w:t>向乙方偿付违约金，违约金最高限额为</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如因不可抗力事件导致一方无法履行合同，该方应立即书面通知对方，并在合理期限内提供权威机构出具的证明。受影响方应尽力减轻不可抗力事件所造成的影响。如法律对不可抗力有其他规定，或合同迟延履行后发生不可抗力事件，本条款不免除违约方的责任。</w:t>
      </w:r>
    </w:p>
    <w:bookmarkEnd w:id="4"/>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十一、争议解决方式</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 w:hAnsi="楷体" w:eastAsia="楷体_GB2312" w:cs="楷体_GB2312"/>
          <w:bCs/>
          <w:sz w:val="24"/>
        </w:rPr>
        <w:t>（此条款为单选，不选或全选无效）</w:t>
      </w:r>
      <w:r>
        <w:rPr>
          <w:rFonts w:hint="eastAsia" w:ascii="仿宋" w:hAnsi="仿宋"/>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□向</w:t>
      </w:r>
      <w:r>
        <w:rPr>
          <w:rFonts w:hint="eastAsia" w:ascii="仿宋" w:hAnsi="仿宋" w:eastAsia="仿宋_GB2312"/>
          <w:sz w:val="28"/>
          <w:szCs w:val="28"/>
          <w:u w:val="single"/>
        </w:rPr>
        <w:t xml:space="preserve">             </w:t>
      </w:r>
      <w:r>
        <w:rPr>
          <w:rFonts w:hint="eastAsia" w:ascii="楷体" w:hAnsi="楷体" w:eastAsia="楷体_GB2312" w:cs="楷体_GB2312"/>
          <w:bCs/>
          <w:sz w:val="24"/>
        </w:rPr>
        <w:t>（甲方所在地仲裁机构名称）</w:t>
      </w:r>
      <w:r>
        <w:rPr>
          <w:rFonts w:hint="eastAsia" w:ascii="仿宋" w:hAnsi="仿宋" w:eastAsia="仿宋_GB2312"/>
          <w:bCs/>
          <w:sz w:val="28"/>
          <w:szCs w:val="28"/>
        </w:rPr>
        <w:t>提起仲裁。</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□向甲方所在地人民法院提起诉讼。</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十二、合同生效</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（一）经双方法定代表人或授权代表签字并经单位盖章后生效。未经甲方允许，乙方不得部分或全部转让其应当履行的合同义务。</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（二）本合同一式</w:t>
      </w:r>
      <w:r>
        <w:rPr>
          <w:rFonts w:hint="eastAsia" w:ascii="仿宋" w:hAnsi="仿宋" w:eastAsia="仿宋_GB2312"/>
          <w:bCs/>
          <w:sz w:val="28"/>
          <w:szCs w:val="28"/>
          <w:u w:val="single"/>
        </w:rPr>
        <w:t xml:space="preserve">    </w:t>
      </w:r>
      <w:r>
        <w:rPr>
          <w:rFonts w:hint="eastAsia" w:ascii="仿宋" w:hAnsi="仿宋" w:eastAsia="仿宋_GB2312"/>
          <w:bCs/>
          <w:sz w:val="28"/>
          <w:szCs w:val="28"/>
        </w:rPr>
        <w:t>份，由双方各执一份，甲方财务结算部门一份，</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十三、其他事项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□十四、附件</w:t>
      </w:r>
    </w:p>
    <w:p>
      <w:pPr>
        <w:pStyle w:val="8"/>
        <w:adjustRightInd w:val="0"/>
        <w:spacing w:line="530" w:lineRule="exact"/>
        <w:ind w:firstLine="560" w:firstLineChars="200"/>
        <w:jc w:val="left"/>
        <w:rPr>
          <w:rFonts w:ascii="仿宋" w:hAnsi="仿宋"/>
          <w:bCs/>
          <w:sz w:val="28"/>
          <w:szCs w:val="28"/>
        </w:rPr>
      </w:pPr>
    </w:p>
    <w:p>
      <w:pPr>
        <w:pStyle w:val="8"/>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i w:val="0"/>
          <w:iCs w:val="0"/>
          <w:color w:val="auto"/>
          <w:sz w:val="28"/>
          <w:szCs w:val="28"/>
          <w:highlight w:val="none"/>
          <w:u w:val="none"/>
          <w:lang w:eastAsia="zh-CN"/>
        </w:rPr>
        <w:t>中标</w:t>
      </w:r>
      <w:r>
        <w:rPr>
          <w:rFonts w:hint="eastAsia" w:ascii="仿宋" w:hAnsi="仿宋"/>
          <w:bCs/>
          <w:i w:val="0"/>
          <w:iCs w:val="0"/>
          <w:color w:val="auto"/>
          <w:sz w:val="28"/>
          <w:szCs w:val="28"/>
          <w:highlight w:val="none"/>
          <w:u w:val="none"/>
          <w:lang w:eastAsia="zh-CN"/>
        </w:rPr>
        <w:t>（成交）</w:t>
      </w:r>
      <w:r>
        <w:rPr>
          <w:rFonts w:hint="eastAsia" w:ascii="仿宋" w:hAnsi="仿宋" w:eastAsia="仿宋_GB2312"/>
          <w:bCs/>
          <w:i w:val="0"/>
          <w:iCs w:val="0"/>
          <w:color w:val="auto"/>
          <w:sz w:val="28"/>
          <w:szCs w:val="28"/>
          <w:highlight w:val="none"/>
          <w:u w:val="non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的实质性内容相背离。</w:t>
      </w:r>
      <w:bookmarkStart w:id="8" w:name="_GoBack"/>
      <w:bookmarkEnd w:id="8"/>
    </w:p>
    <w:p>
      <w:pPr>
        <w:pStyle w:val="2"/>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甲      方：（公章）</w:t>
            </w:r>
          </w:p>
        </w:tc>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adjustRightInd w:val="0"/>
              <w:spacing w:after="0" w:line="638" w:lineRule="exact"/>
              <w:rPr>
                <w:rFonts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10" w:type="dxa"/>
            <w:vAlign w:val="center"/>
          </w:tcPr>
          <w:p>
            <w:pPr>
              <w:pStyle w:val="2"/>
              <w:adjustRightInd w:val="0"/>
              <w:spacing w:after="0" w:line="550" w:lineRule="exact"/>
              <w:rPr>
                <w:rFonts w:ascii="仿宋" w:hAnsi="仿宋" w:eastAsia="仿宋_GB2312"/>
                <w:sz w:val="28"/>
                <w:szCs w:val="22"/>
              </w:rPr>
            </w:pPr>
            <w:r>
              <w:rPr>
                <w:rFonts w:hint="eastAsia" w:ascii="仿宋" w:hAnsi="仿宋" w:eastAsia="仿宋_GB2312"/>
                <w:sz w:val="28"/>
                <w:szCs w:val="22"/>
              </w:rPr>
              <w:t>统一社会信用代码：</w:t>
            </w:r>
            <w:r>
              <w:rPr>
                <w:rFonts w:hint="eastAsia" w:ascii="仿宋" w:hAnsi="仿宋" w:eastAsia="仿宋_GB2312"/>
                <w:sz w:val="28"/>
                <w:szCs w:val="22"/>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pPr>
    </w:p>
    <w:sectPr>
      <w:pgSz w:w="11906" w:h="16838"/>
      <w:pgMar w:top="2098" w:right="1474" w:bottom="1984" w:left="1587" w:header="851" w:footer="1247" w:gutter="0"/>
      <w:cols w:space="0" w:num="1"/>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W&#10;AAAAZHJzL1BLAQIUABQAAAAIAIdO4kAgniRv0wAAAAYBAAAPAAAAAAAAAAEAIAAAADgAAABkcnMv&#10;ZG93bnJldi54bWxQSwECFAAUAAAACACHTuJABWGMPysCAABVBAAADgAAAAAAAAABACAAAAA4AQAA&#10;ZHJzL2Uyb0RvYy54bWxQSwUGAAAAAAYABgBZAQAA1QU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sdt>
      <w:sdtPr>
        <w:id w:val="-1"/>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14</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Am1VpzKgIAAFUEAAAOAAAAAAAAAAEAIAAAADUBAABkcnMv&#10;ZTJvRG9jLnhtbFBLBQYAAAAABgAGAFkBAADRBQ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14</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0F5E74"/>
    <w:rsid w:val="001063B2"/>
    <w:rsid w:val="00106F13"/>
    <w:rsid w:val="001109AE"/>
    <w:rsid w:val="00114A46"/>
    <w:rsid w:val="001167C6"/>
    <w:rsid w:val="00134717"/>
    <w:rsid w:val="0013559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A252C"/>
    <w:rsid w:val="001A42C8"/>
    <w:rsid w:val="001B266E"/>
    <w:rsid w:val="001B3599"/>
    <w:rsid w:val="001B429D"/>
    <w:rsid w:val="001C10E2"/>
    <w:rsid w:val="001D236F"/>
    <w:rsid w:val="001D6619"/>
    <w:rsid w:val="001E03FD"/>
    <w:rsid w:val="001E22E0"/>
    <w:rsid w:val="001E26E5"/>
    <w:rsid w:val="001F0CA1"/>
    <w:rsid w:val="001F2F1E"/>
    <w:rsid w:val="001F4BFC"/>
    <w:rsid w:val="00206504"/>
    <w:rsid w:val="00210100"/>
    <w:rsid w:val="00210A72"/>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24B0E"/>
    <w:rsid w:val="00335027"/>
    <w:rsid w:val="00337074"/>
    <w:rsid w:val="00340437"/>
    <w:rsid w:val="00350F61"/>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40E8"/>
    <w:rsid w:val="004D712F"/>
    <w:rsid w:val="004E7D8D"/>
    <w:rsid w:val="004F01ED"/>
    <w:rsid w:val="004F1818"/>
    <w:rsid w:val="004F5431"/>
    <w:rsid w:val="005000FB"/>
    <w:rsid w:val="005018CD"/>
    <w:rsid w:val="00502BA2"/>
    <w:rsid w:val="00504D82"/>
    <w:rsid w:val="00510D7D"/>
    <w:rsid w:val="005144F7"/>
    <w:rsid w:val="00520C31"/>
    <w:rsid w:val="00522DE1"/>
    <w:rsid w:val="00523C88"/>
    <w:rsid w:val="00526FC6"/>
    <w:rsid w:val="005340BB"/>
    <w:rsid w:val="00537355"/>
    <w:rsid w:val="00543992"/>
    <w:rsid w:val="0054419C"/>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2980"/>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E57E4"/>
    <w:rsid w:val="006F271C"/>
    <w:rsid w:val="006F59C7"/>
    <w:rsid w:val="006F736C"/>
    <w:rsid w:val="00701AF6"/>
    <w:rsid w:val="00716062"/>
    <w:rsid w:val="007161D8"/>
    <w:rsid w:val="00721E58"/>
    <w:rsid w:val="007227B1"/>
    <w:rsid w:val="007263E1"/>
    <w:rsid w:val="007448A7"/>
    <w:rsid w:val="00745E18"/>
    <w:rsid w:val="00747965"/>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E7F63"/>
    <w:rsid w:val="007F1BEF"/>
    <w:rsid w:val="007F4559"/>
    <w:rsid w:val="007F6CA7"/>
    <w:rsid w:val="007F79D6"/>
    <w:rsid w:val="008131F3"/>
    <w:rsid w:val="00814AB4"/>
    <w:rsid w:val="0081621A"/>
    <w:rsid w:val="00824EA3"/>
    <w:rsid w:val="00824F51"/>
    <w:rsid w:val="00825228"/>
    <w:rsid w:val="00826154"/>
    <w:rsid w:val="008353D6"/>
    <w:rsid w:val="00840CFB"/>
    <w:rsid w:val="00845E44"/>
    <w:rsid w:val="00847212"/>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0EA4"/>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3D72"/>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C7EA4"/>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04AD7"/>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AF6C34"/>
    <w:rsid w:val="06730E82"/>
    <w:rsid w:val="079C0686"/>
    <w:rsid w:val="0EA4586B"/>
    <w:rsid w:val="10586D21"/>
    <w:rsid w:val="105D1C3D"/>
    <w:rsid w:val="111B47A3"/>
    <w:rsid w:val="118C0B23"/>
    <w:rsid w:val="11C1264C"/>
    <w:rsid w:val="12353479"/>
    <w:rsid w:val="1771452D"/>
    <w:rsid w:val="17C12D99"/>
    <w:rsid w:val="183F360B"/>
    <w:rsid w:val="18BE3DB0"/>
    <w:rsid w:val="19413279"/>
    <w:rsid w:val="19D441C5"/>
    <w:rsid w:val="1C3B2DA5"/>
    <w:rsid w:val="1D2E1A11"/>
    <w:rsid w:val="1E1B571D"/>
    <w:rsid w:val="204E13A2"/>
    <w:rsid w:val="224F1184"/>
    <w:rsid w:val="22EC72A1"/>
    <w:rsid w:val="234745A7"/>
    <w:rsid w:val="235252E9"/>
    <w:rsid w:val="26103889"/>
    <w:rsid w:val="272E7CC9"/>
    <w:rsid w:val="27940DE1"/>
    <w:rsid w:val="2807684B"/>
    <w:rsid w:val="286375C7"/>
    <w:rsid w:val="2B94540E"/>
    <w:rsid w:val="2BB13488"/>
    <w:rsid w:val="2BB83D60"/>
    <w:rsid w:val="2CEA118B"/>
    <w:rsid w:val="2E446CF8"/>
    <w:rsid w:val="303A0873"/>
    <w:rsid w:val="304D71D6"/>
    <w:rsid w:val="30A4127D"/>
    <w:rsid w:val="31786C1C"/>
    <w:rsid w:val="31E620EA"/>
    <w:rsid w:val="32014534"/>
    <w:rsid w:val="33EF1CF9"/>
    <w:rsid w:val="343B02B7"/>
    <w:rsid w:val="34A360AF"/>
    <w:rsid w:val="35456ED6"/>
    <w:rsid w:val="35890C9A"/>
    <w:rsid w:val="35ED0128"/>
    <w:rsid w:val="38204CE3"/>
    <w:rsid w:val="3927471D"/>
    <w:rsid w:val="39947E1A"/>
    <w:rsid w:val="39947FCC"/>
    <w:rsid w:val="39A26CBE"/>
    <w:rsid w:val="3A3466CD"/>
    <w:rsid w:val="3D250077"/>
    <w:rsid w:val="3D507670"/>
    <w:rsid w:val="3FC463C8"/>
    <w:rsid w:val="405144D0"/>
    <w:rsid w:val="41277BB4"/>
    <w:rsid w:val="42640151"/>
    <w:rsid w:val="43743E09"/>
    <w:rsid w:val="46DC47D7"/>
    <w:rsid w:val="47CE5F0A"/>
    <w:rsid w:val="485817EC"/>
    <w:rsid w:val="48AB3C2F"/>
    <w:rsid w:val="494C7DBA"/>
    <w:rsid w:val="4B9906B2"/>
    <w:rsid w:val="4C4C4058"/>
    <w:rsid w:val="4D566849"/>
    <w:rsid w:val="4D751AA2"/>
    <w:rsid w:val="4D9E3E51"/>
    <w:rsid w:val="4E461062"/>
    <w:rsid w:val="4E5630F4"/>
    <w:rsid w:val="4EC816F2"/>
    <w:rsid w:val="4F765122"/>
    <w:rsid w:val="500378F9"/>
    <w:rsid w:val="511E62EB"/>
    <w:rsid w:val="528A1B2A"/>
    <w:rsid w:val="54207520"/>
    <w:rsid w:val="5521098F"/>
    <w:rsid w:val="55CC794D"/>
    <w:rsid w:val="57B808B5"/>
    <w:rsid w:val="594C595D"/>
    <w:rsid w:val="5A160E4E"/>
    <w:rsid w:val="5D8B16A6"/>
    <w:rsid w:val="5E162DDF"/>
    <w:rsid w:val="61764BE2"/>
    <w:rsid w:val="61D62FCE"/>
    <w:rsid w:val="620B7AFA"/>
    <w:rsid w:val="624406FC"/>
    <w:rsid w:val="633927C0"/>
    <w:rsid w:val="63C673D2"/>
    <w:rsid w:val="643C1CEA"/>
    <w:rsid w:val="64E57406"/>
    <w:rsid w:val="685202C9"/>
    <w:rsid w:val="698373A1"/>
    <w:rsid w:val="6A986B1F"/>
    <w:rsid w:val="6B7E0745"/>
    <w:rsid w:val="6C5D6058"/>
    <w:rsid w:val="6C6C23C8"/>
    <w:rsid w:val="6C755464"/>
    <w:rsid w:val="6F8253A9"/>
    <w:rsid w:val="6FBB6940"/>
    <w:rsid w:val="70CA367A"/>
    <w:rsid w:val="71752373"/>
    <w:rsid w:val="71833D4B"/>
    <w:rsid w:val="73804A61"/>
    <w:rsid w:val="73D31B98"/>
    <w:rsid w:val="747D0702"/>
    <w:rsid w:val="76C42446"/>
    <w:rsid w:val="77A5299C"/>
    <w:rsid w:val="797567D1"/>
    <w:rsid w:val="79BFD4E6"/>
    <w:rsid w:val="7BFDE12F"/>
    <w:rsid w:val="7CAE2BD2"/>
    <w:rsid w:val="7CBC5B13"/>
    <w:rsid w:val="7EE62606"/>
    <w:rsid w:val="7F357B1D"/>
    <w:rsid w:val="7F503D18"/>
    <w:rsid w:val="7FA94E19"/>
    <w:rsid w:val="7FCD7D17"/>
    <w:rsid w:val="BDFFF9B2"/>
    <w:rsid w:val="EEF37CD0"/>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4"/>
    <w:qFormat/>
    <w:uiPriority w:val="0"/>
    <w:pPr>
      <w:keepNext/>
      <w:keepLines/>
      <w:spacing w:before="260" w:after="260" w:line="416" w:lineRule="auto"/>
      <w:outlineLvl w:val="2"/>
    </w:pPr>
    <w:rPr>
      <w:rFonts w:eastAsia="黑体"/>
      <w:b/>
      <w:bCs/>
      <w:szCs w:val="32"/>
    </w:rPr>
  </w:style>
  <w:style w:type="paragraph" w:styleId="6">
    <w:name w:val="heading 4"/>
    <w:basedOn w:val="1"/>
    <w:next w:val="1"/>
    <w:link w:val="22"/>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3"/>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6"/>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1 Char"/>
    <w:basedOn w:val="14"/>
    <w:link w:val="3"/>
    <w:qFormat/>
    <w:uiPriority w:val="9"/>
    <w:rPr>
      <w:rFonts w:ascii="Times New Roman" w:hAnsi="Times New Roman" w:eastAsia="宋体" w:cs="Times New Roman"/>
      <w:b/>
      <w:bCs/>
      <w:kern w:val="44"/>
      <w:sz w:val="44"/>
      <w:szCs w:val="44"/>
    </w:rPr>
  </w:style>
  <w:style w:type="character" w:customStyle="1" w:styleId="18">
    <w:name w:val="标题 2 字符"/>
    <w:basedOn w:val="14"/>
    <w:semiHidden/>
    <w:qFormat/>
    <w:uiPriority w:val="9"/>
    <w:rPr>
      <w:rFonts w:asciiTheme="majorHAnsi" w:hAnsiTheme="majorHAnsi" w:eastAsiaTheme="majorEastAsia" w:cstheme="majorBidi"/>
      <w:b/>
      <w:bCs/>
      <w:sz w:val="32"/>
      <w:szCs w:val="32"/>
    </w:rPr>
  </w:style>
  <w:style w:type="character" w:customStyle="1" w:styleId="19">
    <w:name w:val="标题 4 字符"/>
    <w:basedOn w:val="14"/>
    <w:semiHidden/>
    <w:qFormat/>
    <w:uiPriority w:val="9"/>
    <w:rPr>
      <w:rFonts w:asciiTheme="majorHAnsi" w:hAnsiTheme="majorHAnsi" w:eastAsiaTheme="majorEastAsia" w:cstheme="majorBidi"/>
      <w:b/>
      <w:bCs/>
      <w:sz w:val="28"/>
      <w:szCs w:val="28"/>
    </w:rPr>
  </w:style>
  <w:style w:type="character" w:customStyle="1" w:styleId="20">
    <w:name w:val="正文文本 字符"/>
    <w:basedOn w:val="14"/>
    <w:qFormat/>
    <w:uiPriority w:val="0"/>
    <w:rPr>
      <w:rFonts w:ascii="Times New Roman" w:hAnsi="Times New Roman" w:eastAsia="宋体" w:cs="Times New Roman"/>
      <w:szCs w:val="24"/>
    </w:rPr>
  </w:style>
  <w:style w:type="character" w:customStyle="1" w:styleId="21">
    <w:name w:val="标题 2 Char"/>
    <w:basedOn w:val="14"/>
    <w:link w:val="4"/>
    <w:qFormat/>
    <w:uiPriority w:val="0"/>
    <w:rPr>
      <w:rFonts w:ascii="Arial" w:hAnsi="Arial" w:eastAsia="方正小标宋简体" w:cs="Times New Roman"/>
      <w:b/>
      <w:bCs/>
      <w:sz w:val="44"/>
      <w:szCs w:val="32"/>
    </w:rPr>
  </w:style>
  <w:style w:type="character" w:customStyle="1" w:styleId="22">
    <w:name w:val="标题 4 Char"/>
    <w:basedOn w:val="14"/>
    <w:link w:val="6"/>
    <w:qFormat/>
    <w:uiPriority w:val="0"/>
    <w:rPr>
      <w:rFonts w:ascii="Arial" w:hAnsi="Arial" w:eastAsia="黑体" w:cs="Times New Roman"/>
      <w:b/>
      <w:bCs/>
      <w:sz w:val="28"/>
      <w:szCs w:val="28"/>
    </w:rPr>
  </w:style>
  <w:style w:type="character" w:customStyle="1" w:styleId="23">
    <w:name w:val="正文文本 Char"/>
    <w:basedOn w:val="14"/>
    <w:link w:val="2"/>
    <w:qFormat/>
    <w:uiPriority w:val="0"/>
    <w:rPr>
      <w:rFonts w:ascii="Times New Roman" w:hAnsi="Times New Roman" w:eastAsia="宋体" w:cs="Times New Roman"/>
      <w:szCs w:val="24"/>
    </w:rPr>
  </w:style>
  <w:style w:type="character" w:customStyle="1" w:styleId="24">
    <w:name w:val="标题 3 Char"/>
    <w:basedOn w:val="14"/>
    <w:link w:val="5"/>
    <w:qFormat/>
    <w:uiPriority w:val="0"/>
    <w:rPr>
      <w:rFonts w:ascii="Times New Roman" w:hAnsi="Times New Roman" w:eastAsia="黑体" w:cs="Times New Roman"/>
      <w:b/>
      <w:bCs/>
      <w:sz w:val="32"/>
      <w:szCs w:val="32"/>
    </w:rPr>
  </w:style>
  <w:style w:type="character" w:customStyle="1" w:styleId="25">
    <w:name w:val="纯文本 字符"/>
    <w:basedOn w:val="14"/>
    <w:semiHidden/>
    <w:qFormat/>
    <w:uiPriority w:val="99"/>
    <w:rPr>
      <w:rFonts w:hAnsi="Courier New" w:cs="Courier New" w:asciiTheme="minorEastAsia"/>
      <w:szCs w:val="24"/>
    </w:rPr>
  </w:style>
  <w:style w:type="character" w:customStyle="1" w:styleId="26">
    <w:name w:val="纯文本 Char"/>
    <w:basedOn w:val="14"/>
    <w:link w:val="8"/>
    <w:qFormat/>
    <w:uiPriority w:val="0"/>
    <w:rPr>
      <w:rFonts w:ascii="宋体" w:hAnsi="Courier New" w:eastAsia="宋体" w:cs="Courier New"/>
      <w:szCs w:val="21"/>
    </w:rPr>
  </w:style>
  <w:style w:type="paragraph" w:styleId="27">
    <w:name w:val="List Paragraph"/>
    <w:basedOn w:val="1"/>
    <w:qFormat/>
    <w:uiPriority w:val="34"/>
    <w:pPr>
      <w:ind w:firstLine="420" w:firstLineChars="200"/>
    </w:pPr>
  </w:style>
  <w:style w:type="character" w:customStyle="1" w:styleId="28">
    <w:name w:val="页眉 Char"/>
    <w:basedOn w:val="14"/>
    <w:link w:val="11"/>
    <w:qFormat/>
    <w:uiPriority w:val="99"/>
    <w:rPr>
      <w:rFonts w:ascii="Times New Roman" w:hAnsi="Times New Roman" w:eastAsia="宋体" w:cs="Times New Roman"/>
      <w:sz w:val="18"/>
      <w:szCs w:val="18"/>
    </w:rPr>
  </w:style>
  <w:style w:type="character" w:customStyle="1" w:styleId="29">
    <w:name w:val="页脚 Char"/>
    <w:basedOn w:val="14"/>
    <w:link w:val="10"/>
    <w:qFormat/>
    <w:uiPriority w:val="99"/>
    <w:rPr>
      <w:rFonts w:ascii="Times New Roman" w:hAnsi="Times New Roman" w:eastAsia="宋体" w:cs="Times New Roman"/>
      <w:sz w:val="18"/>
      <w:szCs w:val="18"/>
    </w:rPr>
  </w:style>
  <w:style w:type="character" w:customStyle="1" w:styleId="30">
    <w:name w:val="批注文字 Char"/>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Char"/>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1117</Words>
  <Characters>6368</Characters>
  <Lines>53</Lines>
  <Paragraphs>14</Paragraphs>
  <TotalTime>0</TotalTime>
  <ScaleCrop>false</ScaleCrop>
  <LinksUpToDate>false</LinksUpToDate>
  <CharactersWithSpaces>7471</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2024-04-17T23:44:00Z</dcterms:created>
  <dc:creator>余文龙</dc:creator>
  <cp:lastModifiedBy>何晓娇</cp:lastModifiedBy>
  <cp:lastPrinted>2024-04-09T01:08:00Z</cp:lastPrinted>
  <dcterms:modified xsi:type="dcterms:W3CDTF">2026-04-07T11:32:42Z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