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jc w:val="left"/>
        <w:rPr>
          <w:rFonts w:ascii="楷体_GB2312" w:hAnsi="楷体_GB2312" w:eastAsia="楷体_GB2312" w:cs="楷体_GB2312"/>
          <w:bCs/>
          <w:sz w:val="28"/>
          <w:szCs w:val="28"/>
        </w:rPr>
      </w:pPr>
      <w:r>
        <w:rPr>
          <w:rFonts w:hint="eastAsia" w:ascii="楷体_GB2312" w:hAnsi="楷体_GB2312" w:eastAsia="楷体_GB2312" w:cs="楷体_GB2312"/>
          <w:bCs/>
          <w:sz w:val="28"/>
          <w:szCs w:val="28"/>
        </w:rPr>
        <w:t>军队物资工程服务采购合同示范文本（2.</w:t>
      </w:r>
      <w:r>
        <w:rPr>
          <w:rFonts w:hint="eastAsia" w:ascii="楷体_GB2312" w:hAnsi="楷体_GB2312" w:eastAsia="楷体_GB2312" w:cs="楷体_GB2312"/>
          <w:bCs/>
          <w:sz w:val="28"/>
          <w:szCs w:val="28"/>
          <w:lang w:val="en-US" w:eastAsia="zh-CN"/>
        </w:rPr>
        <w:t>1</w:t>
      </w:r>
      <w:r>
        <w:rPr>
          <w:rFonts w:hint="eastAsia" w:ascii="楷体_GB2312" w:hAnsi="楷体_GB2312" w:eastAsia="楷体_GB2312" w:cs="楷体_GB2312"/>
          <w:bCs/>
          <w:sz w:val="28"/>
          <w:szCs w:val="28"/>
        </w:rPr>
        <w:t>版）</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jc w:val="center"/>
        <w:rPr>
          <w:rFonts w:ascii="方正小标宋简体" w:hAnsi="方正小标宋简体" w:eastAsia="方正小标宋简体" w:cs="方正小标宋简体"/>
          <w:bCs/>
          <w:snapToGrid w:val="0"/>
          <w:kern w:val="0"/>
          <w:sz w:val="52"/>
          <w:szCs w:val="52"/>
        </w:rPr>
      </w:pPr>
      <w:r>
        <w:rPr>
          <w:rFonts w:hint="eastAsia" w:ascii="方正小标宋简体" w:hAnsi="方正小标宋简体" w:eastAsia="方正小标宋简体" w:cs="方正小标宋简体"/>
          <w:bCs/>
          <w:snapToGrid w:val="0"/>
          <w:kern w:val="0"/>
          <w:sz w:val="52"/>
          <w:szCs w:val="52"/>
        </w:rPr>
        <w:t>军史场馆服务项目采购合同</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440" w:leftChars="450"/>
        <w:jc w:val="left"/>
        <w:rPr>
          <w:bCs/>
          <w:snapToGrid w:val="0"/>
          <w:kern w:val="0"/>
          <w:szCs w:val="32"/>
          <w:u w:val="single"/>
        </w:rPr>
      </w:pPr>
      <w:r>
        <w:rPr>
          <w:rFonts w:hint="eastAsia" w:ascii="黑体" w:hAnsi="黑体" w:eastAsia="黑体" w:cs="黑体"/>
          <w:bCs/>
          <w:snapToGrid w:val="0"/>
          <w:kern w:val="0"/>
          <w:szCs w:val="32"/>
        </w:rPr>
        <w:t>项目名称:</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项目编号:</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合同编号:</w:t>
      </w:r>
      <w:r>
        <w:rPr>
          <w:rFonts w:hint="eastAsia"/>
          <w:bCs/>
          <w:szCs w:val="32"/>
          <w:u w:val="single"/>
        </w:rPr>
        <w:t xml:space="preserve">                             </w:t>
      </w:r>
    </w:p>
    <w:p>
      <w:pPr>
        <w:adjustRightInd w:val="0"/>
        <w:spacing w:line="720" w:lineRule="exact"/>
        <w:ind w:left="1440" w:leftChars="450"/>
        <w:rPr>
          <w:b/>
          <w:snapToGrid w:val="0"/>
          <w:kern w:val="0"/>
          <w:szCs w:val="32"/>
        </w:rPr>
      </w:pPr>
    </w:p>
    <w:p>
      <w:pPr>
        <w:adjustRightInd w:val="0"/>
        <w:spacing w:line="720" w:lineRule="exact"/>
        <w:ind w:left="1440" w:leftChars="450"/>
        <w:rPr>
          <w:b/>
          <w:snapToGrid w:val="0"/>
          <w:kern w:val="0"/>
          <w:szCs w:val="32"/>
        </w:rPr>
      </w:pPr>
    </w:p>
    <w:p>
      <w:pPr>
        <w:adjustRightInd w:val="0"/>
        <w:spacing w:line="720" w:lineRule="exact"/>
        <w:ind w:left="3024" w:leftChars="450" w:hanging="1584" w:hangingChars="495"/>
        <w:jc w:val="left"/>
        <w:rPr>
          <w:bCs/>
          <w:snapToGrid w:val="0"/>
          <w:kern w:val="0"/>
          <w:szCs w:val="32"/>
        </w:rPr>
      </w:pPr>
      <w:r>
        <w:rPr>
          <w:rFonts w:hint="eastAsia" w:ascii="黑体" w:hAnsi="黑体" w:eastAsia="黑体" w:cs="黑体"/>
          <w:bCs/>
          <w:snapToGrid w:val="0"/>
          <w:kern w:val="0"/>
          <w:szCs w:val="32"/>
        </w:rPr>
        <w:t>甲方（采购单位）:</w:t>
      </w:r>
      <w:r>
        <w:rPr>
          <w:rFonts w:hint="eastAsia"/>
          <w:bCs/>
          <w:snapToGrid w:val="0"/>
          <w:kern w:val="0"/>
          <w:szCs w:val="32"/>
          <w:u w:val="single"/>
        </w:rPr>
        <w:t xml:space="preserve">                     </w:t>
      </w:r>
    </w:p>
    <w:p>
      <w:pPr>
        <w:adjustRightInd w:val="0"/>
        <w:spacing w:line="720" w:lineRule="exact"/>
        <w:ind w:left="3024" w:leftChars="450" w:hanging="1584" w:hangingChars="495"/>
        <w:jc w:val="left"/>
        <w:rPr>
          <w:bCs/>
          <w:snapToGrid w:val="0"/>
          <w:kern w:val="0"/>
          <w:szCs w:val="32"/>
          <w:u w:val="single"/>
        </w:rPr>
      </w:pPr>
      <w:r>
        <w:rPr>
          <w:rFonts w:hint="eastAsia" w:ascii="黑体" w:hAnsi="黑体" w:eastAsia="黑体" w:cs="黑体"/>
          <w:bCs/>
          <w:snapToGrid w:val="0"/>
          <w:kern w:val="0"/>
          <w:szCs w:val="32"/>
        </w:rPr>
        <w:t>乙方（供 应 商）:</w:t>
      </w:r>
      <w:r>
        <w:rPr>
          <w:rFonts w:hint="eastAsia"/>
          <w:bCs/>
          <w:snapToGrid w:val="0"/>
          <w:kern w:val="0"/>
          <w:szCs w:val="32"/>
          <w:u w:val="single"/>
        </w:rPr>
        <w:t xml:space="preserve">                     </w:t>
      </w:r>
    </w:p>
    <w:p>
      <w:pPr>
        <w:adjustRightInd w:val="0"/>
        <w:spacing w:line="720" w:lineRule="exact"/>
        <w:ind w:left="1600" w:leftChars="500"/>
        <w:rPr>
          <w:b/>
          <w:snapToGrid w:val="0"/>
          <w:kern w:val="0"/>
          <w:szCs w:val="32"/>
        </w:rPr>
      </w:pPr>
    </w:p>
    <w:p>
      <w:pPr>
        <w:adjustRightInd w:val="0"/>
        <w:spacing w:line="720" w:lineRule="exact"/>
        <w:ind w:left="1600" w:leftChars="500"/>
        <w:rPr>
          <w:b/>
          <w:snapToGrid w:val="0"/>
          <w:kern w:val="0"/>
          <w:szCs w:val="32"/>
        </w:rPr>
      </w:pPr>
    </w:p>
    <w:p>
      <w:pPr>
        <w:pStyle w:val="3"/>
        <w:keepNext w:val="0"/>
        <w:keepLines w:val="0"/>
        <w:adjustRightInd w:val="0"/>
        <w:spacing w:before="0" w:after="0" w:line="560" w:lineRule="exact"/>
        <w:jc w:val="center"/>
        <w:rPr>
          <w:rFonts w:ascii="方正小标宋简体" w:hAnsi="方正小标宋简体" w:eastAsia="方正小标宋简体" w:cs="方正小标宋简体"/>
          <w:b w:val="0"/>
          <w:bCs w:val="0"/>
          <w:lang w:val="zh-CN"/>
        </w:rPr>
        <w:sectPr>
          <w:headerReference r:id="rId3" w:type="first"/>
          <w:footerReference r:id="rId6" w:type="first"/>
          <w:footerReference r:id="rId4" w:type="default"/>
          <w:footerReference r:id="rId5" w:type="even"/>
          <w:pgSz w:w="11906" w:h="16838"/>
          <w:pgMar w:top="2098" w:right="1474" w:bottom="1984" w:left="1587" w:header="851" w:footer="992" w:gutter="0"/>
          <w:pgNumType w:start="0"/>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adjustRightInd w:val="0"/>
        <w:spacing w:line="530" w:lineRule="exact"/>
        <w:ind w:firstLine="560" w:firstLineChars="200"/>
        <w:rPr>
          <w:rFonts w:ascii="仿宋" w:hAnsi="仿宋"/>
          <w:bCs/>
          <w:sz w:val="28"/>
          <w:szCs w:val="28"/>
        </w:rPr>
      </w:pPr>
    </w:p>
    <w:p>
      <w:pPr>
        <w:pStyle w:val="6"/>
        <w:keepNext w:val="0"/>
        <w:keepLines w:val="0"/>
        <w:adjustRightInd w:val="0"/>
        <w:spacing w:before="0" w:after="0" w:line="530" w:lineRule="exact"/>
        <w:ind w:firstLine="560" w:firstLineChars="200"/>
        <w:rPr>
          <w:b w:val="0"/>
          <w:bCs w:val="0"/>
        </w:rPr>
      </w:pPr>
      <w:r>
        <w:rPr>
          <w:rFonts w:hint="eastAsia"/>
          <w:b w:val="0"/>
          <w:bCs w:val="0"/>
        </w:rPr>
        <w:t>一、定义</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（一）“合同”是指甲方和乙方（以下简称双方）已达成的协议。</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（二）“甲方”是指采购服务的采购单位，或者受采购单位委托的采购机构。</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（三）“乙方”是指中标（成交）后提供服务的供应商。</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（四）“合同金额”是指根据合同约定，在乙方全面正确地履行合同义务时支付给乙方的款项。</w:t>
      </w:r>
    </w:p>
    <w:p>
      <w:pPr>
        <w:pStyle w:val="6"/>
        <w:keepNext w:val="0"/>
        <w:keepLines w:val="0"/>
        <w:adjustRightInd w:val="0"/>
        <w:spacing w:before="0" w:after="0" w:line="530" w:lineRule="exact"/>
        <w:ind w:firstLine="560" w:firstLineChars="200"/>
        <w:rPr>
          <w:rFonts w:ascii="楷体_GB2312" w:hAnsi="楷体_GB2312" w:eastAsia="楷体_GB2312" w:cs="楷体_GB2312"/>
          <w:sz w:val="21"/>
          <w:szCs w:val="21"/>
        </w:rPr>
      </w:pPr>
      <w:r>
        <w:rPr>
          <w:rFonts w:hint="eastAsia" w:ascii="仿宋" w:hAnsi="仿宋" w:eastAsia="仿宋_GB2312"/>
          <w:b w:val="0"/>
          <w:bCs w:val="0"/>
        </w:rPr>
        <w:t>（五）“服务”是指乙方根据合同约定向甲方交付或实施的服务。</w:t>
      </w:r>
      <w:r>
        <w:rPr>
          <w:rFonts w:hint="eastAsia" w:ascii="楷体" w:hAnsi="楷体" w:eastAsia="楷体_GB2312" w:cs="楷体_GB2312"/>
          <w:b w:val="0"/>
          <w:bCs w:val="0"/>
          <w:sz w:val="21"/>
          <w:szCs w:val="21"/>
        </w:rPr>
        <w:t>（</w:t>
      </w:r>
      <w:r>
        <w:rPr>
          <w:rFonts w:hint="eastAsia" w:ascii="楷体" w:hAnsi="楷体" w:eastAsia="楷体_GB2312" w:cs="楷体_GB2312"/>
          <w:b w:val="0"/>
          <w:bCs w:val="0"/>
          <w:sz w:val="24"/>
          <w:szCs w:val="24"/>
        </w:rPr>
        <w:t>交付类项目，是指在选择乙方后，由乙方按合同要求提供成果或者产品，如设计、规划、软件开发类等项目；实施类项目，是指在选择乙方后，由乙方按合同要求实施服务，如营区内饮食社会化保障、营区内超市（便利店）、物业管理服务类等项目</w:t>
      </w:r>
      <w:r>
        <w:rPr>
          <w:rFonts w:hint="eastAsia" w:ascii="楷体" w:hAnsi="楷体" w:eastAsia="楷体_GB2312" w:cs="楷体_GB2312"/>
          <w:b w:val="0"/>
          <w:bCs w:val="0"/>
          <w:sz w:val="21"/>
          <w:szCs w:val="21"/>
        </w:rPr>
        <w:t>）</w:t>
      </w:r>
    </w:p>
    <w:p>
      <w:pPr>
        <w:pStyle w:val="6"/>
        <w:keepNext w:val="0"/>
        <w:keepLines w:val="0"/>
        <w:adjustRightInd w:val="0"/>
        <w:spacing w:before="0" w:after="0" w:line="530" w:lineRule="exact"/>
        <w:ind w:firstLine="560" w:firstLineChars="200"/>
        <w:rPr>
          <w:b w:val="0"/>
          <w:bCs w:val="0"/>
        </w:rPr>
      </w:pPr>
      <w:r>
        <w:rPr>
          <w:rFonts w:hint="eastAsia"/>
          <w:b w:val="0"/>
          <w:bCs w:val="0"/>
        </w:rPr>
        <w:t>二、知识产权</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乙方应当保证甲方在使用乙方交付的服务成果时不受第三方提出侵犯其知识产权的指控，对此甲方不承担任何连带责任或赔偿责任。</w:t>
      </w:r>
    </w:p>
    <w:p>
      <w:pPr>
        <w:pStyle w:val="6"/>
        <w:keepNext w:val="0"/>
        <w:keepLines w:val="0"/>
        <w:adjustRightInd w:val="0"/>
        <w:spacing w:before="0" w:after="0" w:line="530" w:lineRule="exact"/>
        <w:ind w:firstLine="560" w:firstLineChars="200"/>
        <w:rPr>
          <w:b w:val="0"/>
          <w:bCs w:val="0"/>
        </w:rPr>
      </w:pPr>
      <w:r>
        <w:rPr>
          <w:rFonts w:hint="eastAsia"/>
          <w:b w:val="0"/>
          <w:bCs w:val="0"/>
        </w:rPr>
        <w:t>三、合同的变更和解除</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（一）因合同变更、解除造成损失的，过错方应当按照合同约定或者国家法律法规承担赔偿责任，双方都有过错的，应当按照合同约定或者国家法律法规各自承担相应的责任。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（二）合同履行中，存在以下情形之一的，经双方协商一致，并由甲方按照军队有关规定办理审批后，可以变更合同：</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1.</w:t>
      </w:r>
      <w:r>
        <w:rPr>
          <w:rFonts w:hint="eastAsia" w:ascii="仿宋" w:hAnsi="仿宋" w:eastAsia="仿宋_GB2312"/>
          <w:bCs/>
          <w:sz w:val="28"/>
          <w:szCs w:val="28"/>
        </w:rPr>
        <w:t>甲方需要追加或者减少与合同标的相同的物资或者服务的，在不改变合同其他条款的前提下，可以与乙方协商，进行协议追加或者减少；追加采购金额不得超过原合同采购金</w:t>
      </w:r>
      <w:r>
        <w:rPr>
          <w:rFonts w:hint="eastAsia" w:ascii="仿宋_GB2312" w:hAnsi="仿宋_GB2312" w:eastAsia="仿宋_GB2312" w:cs="仿宋_GB2312"/>
          <w:bCs/>
          <w:sz w:val="28"/>
          <w:szCs w:val="28"/>
        </w:rPr>
        <w:t>额的10%；</w:t>
      </w:r>
      <w:r>
        <w:rPr>
          <w:rFonts w:hint="eastAsia" w:ascii="仿宋" w:hAnsi="仿宋" w:eastAsia="仿宋_GB2312"/>
          <w:bCs/>
          <w:sz w:val="28"/>
          <w:szCs w:val="28"/>
        </w:rPr>
        <w:t>按照预先采购结果、共享共用采购结果等订立的采购合同，其变更适用情形另有规定的，按照有关规定执行。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2.因产品停产、技术升级等不可预知的客观原因导致合同难以履行，需要更换同品牌升级产品或者同品质升级服务，甲方可以视情组织专家论证，签订合同变更协议，但合同标的单价不得提高。</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4.继续履行合同将损害国家或者军队利益，通过合同变更能够消除相应损害的，可以变更合同。</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5.国家法律法规</w:t>
      </w:r>
      <w:r>
        <w:rPr>
          <w:rFonts w:hint="eastAsia" w:ascii="仿宋" w:hAnsi="仿宋" w:eastAsia="仿宋_GB2312"/>
          <w:bCs/>
          <w:sz w:val="28"/>
          <w:szCs w:val="28"/>
        </w:rPr>
        <w:t>规定或者合同约定的其他合同变更的情形。</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（三）合同履行中，存在以下情形之一的，甲方有权解除合同：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1.因不可抗力无法履行合同，不能实现合同目的的；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2.继续履行合同将损害国家或者甲方利益，且无法通过合同变更或者中止方式解决的；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3.采购任务调整或者取消，不能通过合同变更方式达成新协议的；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4.乙方明确表示或者以自己的行为表明不履行合同主要义务的；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5.乙方迟延履行合同主要义务，经催告后在限定合理整改期限内仍不履行的；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6.乙方存在违规违约行为致使不能实现合同目的的；</w:t>
      </w:r>
    </w:p>
    <w:p>
      <w:pPr>
        <w:adjustRightInd w:val="0"/>
        <w:spacing w:line="530" w:lineRule="exact"/>
        <w:ind w:firstLine="560" w:firstLineChars="200"/>
        <w:rPr>
          <w:rFonts w:ascii="仿宋" w:hAnsi="仿宋" w:eastAsia="仿宋_GB2312"/>
          <w:bCs/>
          <w:sz w:val="28"/>
          <w:szCs w:val="28"/>
          <w:lang w:val="zh-CN"/>
        </w:rPr>
      </w:pPr>
      <w:r>
        <w:rPr>
          <w:rFonts w:hint="eastAsia" w:ascii="仿宋_GB2312" w:hAnsi="仿宋_GB2312" w:eastAsia="仿宋_GB2312" w:cs="仿宋_GB2312"/>
          <w:bCs/>
          <w:sz w:val="28"/>
          <w:szCs w:val="28"/>
        </w:rPr>
        <w:t>7.乙方</w:t>
      </w:r>
      <w:r>
        <w:rPr>
          <w:rFonts w:hint="eastAsia" w:ascii="仿宋_GB2312" w:hAnsi="仿宋_GB2312" w:eastAsia="仿宋_GB2312" w:cs="仿宋_GB2312"/>
          <w:bCs/>
          <w:sz w:val="28"/>
          <w:szCs w:val="28"/>
          <w:lang w:val="zh-CN"/>
        </w:rPr>
        <w:t>发生控股关系、</w:t>
      </w:r>
      <w:r>
        <w:rPr>
          <w:rFonts w:hint="eastAsia" w:ascii="仿宋" w:hAnsi="仿宋" w:eastAsia="仿宋_GB2312"/>
          <w:bCs/>
          <w:sz w:val="28"/>
          <w:szCs w:val="28"/>
          <w:lang w:val="zh-CN"/>
        </w:rPr>
        <w:t>经营范围等重大实质性变化，不符合合同约定的；</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8.国家法</w:t>
      </w:r>
      <w:r>
        <w:rPr>
          <w:rFonts w:hint="eastAsia" w:ascii="仿宋" w:hAnsi="仿宋" w:eastAsia="仿宋_GB2312"/>
          <w:bCs/>
          <w:sz w:val="28"/>
          <w:szCs w:val="28"/>
        </w:rPr>
        <w:t>律法规规定或者合同约定的其他情形。</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（四）解除合同时，合同尚未履行的部分终止履行；对于乙方已履行的部分，双方区分情形，按照以下约定办理：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3.合同已履行部分根据甲方要求经乙方补救后仍未达到合同约定要求的，甲方有权拒绝支付相应的费用。</w:t>
      </w:r>
    </w:p>
    <w:p>
      <w:pPr>
        <w:adjustRightInd w:val="0"/>
        <w:spacing w:line="530" w:lineRule="exact"/>
        <w:ind w:firstLine="560" w:firstLineChars="200"/>
        <w:rPr>
          <w:bCs/>
          <w:sz w:val="28"/>
          <w:szCs w:val="28"/>
        </w:rPr>
      </w:pPr>
      <w:r>
        <w:rPr>
          <w:rFonts w:hint="eastAsia" w:ascii="仿宋_GB2312" w:hAnsi="仿宋_GB2312" w:eastAsia="仿宋_GB2312" w:cs="仿宋_GB2312"/>
          <w:bCs/>
          <w:sz w:val="28"/>
          <w:szCs w:val="28"/>
        </w:rPr>
        <w:t>4.乙方对合同解除</w:t>
      </w:r>
      <w:r>
        <w:rPr>
          <w:rFonts w:hint="eastAsia" w:ascii="仿宋" w:hAnsi="仿宋" w:eastAsia="仿宋_GB2312"/>
          <w:bCs/>
          <w:sz w:val="28"/>
          <w:szCs w:val="28"/>
        </w:rPr>
        <w:t>负有主要过错责任的，甲方有权拒绝接收合同已履行部分服务。</w:t>
      </w:r>
    </w:p>
    <w:p>
      <w:pPr>
        <w:pStyle w:val="6"/>
        <w:keepNext w:val="0"/>
        <w:keepLines w:val="0"/>
        <w:adjustRightInd w:val="0"/>
        <w:spacing w:before="0" w:after="0" w:line="530" w:lineRule="exact"/>
        <w:ind w:firstLine="560" w:firstLineChars="200"/>
        <w:rPr>
          <w:b w:val="0"/>
          <w:bCs w:val="0"/>
        </w:rPr>
      </w:pPr>
      <w:r>
        <w:rPr>
          <w:rFonts w:hint="eastAsia"/>
          <w:b w:val="0"/>
          <w:bCs w:val="0"/>
        </w:rPr>
        <w:t>四、履约监督</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（一）乙方应当接受甲方对其资质和履约能力进行监管，并保证在其资质和履约能力发生变化时及时向甲方通报，乙方存在法律规定的丧失或者可能丧失合同履行能力有关情形时，甲方有权中止合同履行：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1.经营状况严重恶化的；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2.转移财产、抽逃资金，以逃避债务的；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3.丧失商业信誉的；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4.有丧失或者可能丧失履行合同能力的其他情形。</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甲方中止合同履</w:t>
      </w:r>
      <w:r>
        <w:rPr>
          <w:rFonts w:hint="eastAsia" w:ascii="仿宋" w:hAnsi="仿宋" w:eastAsia="仿宋_GB2312"/>
          <w:bCs/>
          <w:sz w:val="28"/>
          <w:szCs w:val="28"/>
        </w:rPr>
        <w:t>行的，应当及时通知乙方。乙方提供适当担保的，甲方应当恢复履行。如果乙方在合理期限内未恢复履行能力且未提供适当担保的，甲方有权解除合同，并要求乙方承担违约责任。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（二）在不妨碍乙方正常作业的情况下，甲方有权不定期对服务的进度和过程质量管控情况进行监督检查，乙方承诺予以配合，如实反映情况，提供相关材料。</w:t>
      </w:r>
    </w:p>
    <w:p>
      <w:pPr>
        <w:adjustRightInd w:val="0"/>
        <w:spacing w:line="530" w:lineRule="exact"/>
        <w:ind w:firstLine="560" w:firstLineChars="200"/>
        <w:rPr>
          <w:bCs/>
          <w:sz w:val="28"/>
          <w:szCs w:val="28"/>
        </w:rPr>
      </w:pPr>
      <w:r>
        <w:rPr>
          <w:rFonts w:hint="eastAsia" w:ascii="仿宋" w:hAnsi="仿宋" w:eastAsia="仿宋_GB2312"/>
          <w:bCs/>
          <w:sz w:val="28"/>
          <w:szCs w:val="28"/>
        </w:rPr>
        <w:t>（三）乙方对于甲方采购管理部门、纪检监察部门、审计部门等职能部门开展的调查，承诺予以配合，如实反映情况，提供相关材料。</w:t>
      </w:r>
    </w:p>
    <w:p>
      <w:pPr>
        <w:pStyle w:val="6"/>
        <w:keepNext w:val="0"/>
        <w:keepLines w:val="0"/>
        <w:adjustRightInd w:val="0"/>
        <w:spacing w:before="0" w:after="0" w:line="530" w:lineRule="exact"/>
        <w:ind w:firstLine="560" w:firstLineChars="200"/>
        <w:rPr>
          <w:b w:val="0"/>
          <w:bCs w:val="0"/>
        </w:rPr>
      </w:pPr>
      <w:r>
        <w:rPr>
          <w:rFonts w:hint="eastAsia"/>
          <w:b w:val="0"/>
          <w:bCs w:val="0"/>
        </w:rPr>
        <w:t>五、转包与分包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（一）乙方不得以任何形式将合同转包。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w:t>
      </w:r>
      <w:r>
        <w:rPr>
          <w:rFonts w:hint="eastAsia" w:ascii="仿宋" w:hAnsi="仿宋"/>
          <w:bCs/>
          <w:sz w:val="28"/>
          <w:szCs w:val="28"/>
          <w:lang w:eastAsia="zh-CN"/>
        </w:rPr>
        <w:t>通常</w:t>
      </w:r>
      <w:r>
        <w:rPr>
          <w:rFonts w:hint="eastAsia" w:ascii="仿宋" w:hAnsi="仿宋" w:eastAsia="仿宋_GB2312"/>
          <w:bCs/>
          <w:sz w:val="28"/>
          <w:szCs w:val="28"/>
        </w:rPr>
        <w:t>不得将合同分包，采购文件允许并在投标（报价）文件中说明的情形除外。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（三）合同分包履行的，乙方应当与分包承担主体就分包项目向甲方承担连带责任。</w:t>
      </w:r>
    </w:p>
    <w:p>
      <w:pPr>
        <w:pStyle w:val="6"/>
        <w:keepNext w:val="0"/>
        <w:keepLines w:val="0"/>
        <w:adjustRightInd w:val="0"/>
        <w:spacing w:before="0" w:after="0" w:line="530" w:lineRule="exact"/>
        <w:ind w:firstLine="560" w:firstLineChars="200"/>
        <w:rPr>
          <w:b w:val="0"/>
          <w:bCs w:val="0"/>
        </w:rPr>
      </w:pPr>
      <w:r>
        <w:rPr>
          <w:rFonts w:hint="eastAsia"/>
          <w:b w:val="0"/>
          <w:bCs w:val="0"/>
        </w:rPr>
        <w:t>六、争议解决方式</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合同履行过程中，发生争议时，按照下列方式解决：</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（一）甲方和乙方协商解决。</w:t>
      </w:r>
    </w:p>
    <w:p>
      <w:pPr>
        <w:adjustRightInd w:val="0"/>
        <w:spacing w:line="530" w:lineRule="exact"/>
        <w:ind w:firstLine="560" w:firstLineChars="200"/>
        <w:rPr>
          <w:bCs/>
          <w:sz w:val="28"/>
          <w:szCs w:val="28"/>
        </w:rPr>
      </w:pPr>
      <w:r>
        <w:rPr>
          <w:rFonts w:hint="eastAsia" w:ascii="仿宋" w:hAnsi="仿宋" w:eastAsia="仿宋_GB2312"/>
          <w:bCs/>
          <w:sz w:val="28"/>
          <w:szCs w:val="28"/>
        </w:rPr>
        <w:t>（二）协商不一致的，甲方或者乙方向采购机构负责合同履约的部门反映情况，请求第一次调解处理；第一次调解不成功的，向军级单位采购管理部门或者同等权限的采购管理部门请求第二次调解处理。</w:t>
      </w:r>
    </w:p>
    <w:p>
      <w:pPr>
        <w:pStyle w:val="6"/>
        <w:keepNext w:val="0"/>
        <w:keepLines w:val="0"/>
        <w:adjustRightInd w:val="0"/>
        <w:spacing w:before="0" w:after="0" w:line="530" w:lineRule="exact"/>
        <w:ind w:firstLine="560" w:firstLineChars="200"/>
        <w:rPr>
          <w:b w:val="0"/>
          <w:bCs w:val="0"/>
        </w:rPr>
      </w:pPr>
      <w:r>
        <w:rPr>
          <w:rFonts w:hint="eastAsia"/>
          <w:b w:val="0"/>
          <w:bCs w:val="0"/>
        </w:rPr>
        <w:t>七、组成合同的文件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组成本合同的文件及优先解释顺序如下：</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（一）采购合同及合同履行过程中双方协商达成的变更或补充协议；</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（二）中标（成交）通知书；</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（三）投标（报价）文件；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（四）采购文件；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（五）标准、规范及有关技术文件，图纸；</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（六）其他合同文件。</w:t>
      </w:r>
    </w:p>
    <w:p>
      <w:pPr>
        <w:pStyle w:val="6"/>
        <w:keepNext w:val="0"/>
        <w:keepLines w:val="0"/>
        <w:adjustRightInd w:val="0"/>
        <w:spacing w:before="0" w:after="0" w:line="530" w:lineRule="exact"/>
        <w:ind w:firstLine="560" w:firstLineChars="200"/>
        <w:rPr>
          <w:b w:val="0"/>
          <w:bCs w:val="0"/>
        </w:rPr>
      </w:pPr>
      <w:r>
        <w:rPr>
          <w:rFonts w:hint="eastAsia"/>
          <w:b w:val="0"/>
          <w:bCs w:val="0"/>
        </w:rPr>
        <w:t>八、其他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（一）合同未尽事宜，双方另行签订补充协议，补充协议是合同的组成部分。</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eastAsia="仿宋_GB2312"/>
          <w:bCs/>
          <w:sz w:val="28"/>
          <w:szCs w:val="28"/>
        </w:rPr>
        <w:t>（二）本合同按照军队合同备案管理规定统一编号后，报相关部门备案。</w:t>
      </w:r>
    </w:p>
    <w:p>
      <w:pPr>
        <w:pStyle w:val="2"/>
      </w:pPr>
    </w:p>
    <w:p>
      <w:pPr>
        <w:pStyle w:val="3"/>
        <w:keepNext w:val="0"/>
        <w:keepLines w:val="0"/>
        <w:adjustRightInd w:val="0"/>
        <w:spacing w:before="0" w:after="0" w:line="530" w:lineRule="exact"/>
        <w:jc w:val="center"/>
        <w:rPr>
          <w:rFonts w:ascii="仿宋" w:hAnsi="仿宋" w:eastAsia="仿宋_GB2312"/>
          <w:b w:val="0"/>
          <w:bCs w:val="0"/>
        </w:rPr>
        <w:sectPr>
          <w:footerReference r:id="rId7" w:type="default"/>
          <w:footerReference r:id="rId8" w:type="even"/>
          <w:pgSz w:w="11906" w:h="16838"/>
          <w:pgMar w:top="2098" w:right="1474" w:bottom="1984" w:left="1587" w:header="851" w:footer="1247" w:gutter="0"/>
          <w:pgNumType w:start="1"/>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rPr>
          <w:lang w:val="zh-CN"/>
        </w:rPr>
      </w:pPr>
    </w:p>
    <w:p>
      <w:pPr>
        <w:pStyle w:val="6"/>
        <w:keepNext w:val="0"/>
        <w:keepLines w:val="0"/>
        <w:adjustRightInd w:val="0"/>
        <w:spacing w:before="0" w:after="0" w:line="530" w:lineRule="exact"/>
        <w:ind w:firstLine="560" w:firstLineChars="200"/>
        <w:rPr>
          <w:b w:val="0"/>
          <w:bCs w:val="0"/>
        </w:rPr>
      </w:pPr>
      <w:r>
        <w:rPr>
          <w:rFonts w:hint="eastAsia"/>
          <w:b w:val="0"/>
          <w:bCs w:val="0"/>
        </w:rPr>
        <w:t>一、项目信息</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adjustRightInd w:val="0"/>
        <w:spacing w:line="530" w:lineRule="exact"/>
        <w:ind w:firstLine="560" w:firstLineChars="200"/>
        <w:rPr>
          <w:rFonts w:ascii="仿宋" w:hAnsi="仿宋" w:eastAsia="仿宋_GB2312" w:cs="宋体"/>
          <w:bCs/>
          <w:sz w:val="28"/>
          <w:szCs w:val="28"/>
          <w:u w:val="single"/>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247" w:afterLines="50" w:line="530" w:lineRule="exact"/>
        <w:ind w:firstLine="560" w:firstLineChars="200"/>
        <w:textAlignment w:val="auto"/>
        <w:rPr>
          <w:rFonts w:hint="eastAsia" w:eastAsia="黑体"/>
          <w:b w:val="0"/>
          <w:bCs w:val="0"/>
          <w:lang w:val="en-US" w:eastAsia="zh-CN"/>
        </w:rPr>
      </w:pPr>
      <w:r>
        <w:rPr>
          <w:rFonts w:hint="eastAsia"/>
          <w:b w:val="0"/>
          <w:bCs w:val="0"/>
        </w:rPr>
        <w:t>二、合同标的及金额</w:t>
      </w:r>
      <w:r>
        <w:rPr>
          <w:rFonts w:hint="eastAsia" w:ascii="楷体_GB2312" w:hAnsi="楷体_GB2312" w:eastAsia="楷体_GB2312" w:cs="楷体_GB2312"/>
          <w:b w:val="0"/>
          <w:bCs w:val="0"/>
          <w:sz w:val="24"/>
          <w:szCs w:val="24"/>
          <w:lang w:eastAsia="zh-CN"/>
        </w:rPr>
        <w:t>（据实调整）</w:t>
      </w:r>
    </w:p>
    <w:tbl>
      <w:tblPr>
        <w:tblStyle w:val="12"/>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1285"/>
        <w:gridCol w:w="2220"/>
        <w:gridCol w:w="800"/>
        <w:gridCol w:w="730"/>
        <w:gridCol w:w="988"/>
        <w:gridCol w:w="989"/>
        <w:gridCol w:w="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序号</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服务</w:t>
            </w:r>
            <w:r>
              <w:rPr>
                <w:rFonts w:hint="eastAsia" w:ascii="仿宋_GB2312" w:hAnsi="仿宋_GB2312" w:eastAsia="仿宋_GB2312" w:cs="仿宋_GB2312"/>
                <w:bCs/>
                <w:spacing w:val="-4"/>
                <w:sz w:val="21"/>
                <w:szCs w:val="21"/>
              </w:rPr>
              <w:t>名称</w:t>
            </w: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质量技术标准</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计量</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单位</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数量</w:t>
            </w: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价格</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小计</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1</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0" w:hRule="atLeast"/>
          <w:jc w:val="center"/>
        </w:trPr>
        <w:tc>
          <w:tcPr>
            <w:tcW w:w="8600" w:type="dxa"/>
            <w:gridSpan w:val="8"/>
            <w:tcBorders>
              <w:top w:val="single" w:color="auto" w:sz="4" w:space="0"/>
              <w:left w:val="single" w:color="auto" w:sz="4" w:space="0"/>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val="0"/>
              <w:snapToGrid/>
              <w:spacing w:after="0" w:line="320" w:lineRule="exact"/>
              <w:ind w:firstLine="420" w:firstLineChars="20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□固定总价</w:t>
            </w:r>
          </w:p>
          <w:p>
            <w:pPr>
              <w:pStyle w:val="2"/>
              <w:keepNext w:val="0"/>
              <w:keepLines w:val="0"/>
              <w:pageBreakBefore w:val="0"/>
              <w:widowControl w:val="0"/>
              <w:kinsoku/>
              <w:wordWrap/>
              <w:overflowPunct/>
              <w:topLinePunct w:val="0"/>
              <w:autoSpaceDE/>
              <w:autoSpaceDN/>
              <w:bidi w:val="0"/>
              <w:adjustRightInd w:val="0"/>
              <w:snapToGrid/>
              <w:spacing w:after="0" w:line="320" w:lineRule="exact"/>
              <w:ind w:firstLine="420" w:firstLineChars="20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合同暂定价为人民币</w:t>
            </w:r>
            <w:r>
              <w:rPr>
                <w:rFonts w:hint="eastAsia" w:cs="仿宋_GB2312"/>
                <w:sz w:val="21"/>
                <w:szCs w:val="21"/>
                <w:lang w:eastAsia="zh-CN"/>
              </w:rPr>
              <w:t>大写</w:t>
            </w:r>
            <w:r>
              <w:rPr>
                <w:rFonts w:hint="eastAsia" w:ascii="仿宋_GB2312" w:hAnsi="仿宋_GB2312" w:eastAsia="仿宋_GB2312" w:cs="仿宋_GB2312"/>
                <w:sz w:val="21"/>
                <w:szCs w:val="21"/>
              </w:rPr>
              <w:t>：</w:t>
            </w:r>
            <w:r>
              <w:rPr>
                <w:rFonts w:hint="eastAsia" w:ascii="仿宋_GB2312" w:hAnsi="仿宋_GB2312" w:eastAsia="仿宋_GB2312" w:cs="仿宋_GB2312"/>
                <w:sz w:val="21"/>
                <w:szCs w:val="21"/>
                <w:u w:val="single"/>
              </w:rPr>
              <w:t xml:space="preserve">             </w:t>
            </w:r>
            <w:r>
              <w:rPr>
                <w:rFonts w:hint="eastAsia" w:ascii="仿宋_GB2312" w:hAnsi="仿宋_GB2312" w:eastAsia="仿宋_GB2312" w:cs="仿宋_GB2312"/>
                <w:sz w:val="21"/>
                <w:szCs w:val="21"/>
              </w:rPr>
              <w:t>元</w:t>
            </w:r>
            <w:r>
              <w:rPr>
                <w:rFonts w:hint="eastAsia" w:cs="仿宋_GB2312"/>
                <w:sz w:val="21"/>
                <w:szCs w:val="21"/>
                <w:lang w:eastAsia="zh-CN"/>
              </w:rPr>
              <w:t>（小写：</w:t>
            </w:r>
            <w:r>
              <w:rPr>
                <w:rFonts w:hint="eastAsia" w:ascii="宋体" w:hAnsi="宋体" w:eastAsia="宋体" w:cs="宋体"/>
                <w:bCs/>
                <w:spacing w:val="-4"/>
                <w:sz w:val="21"/>
                <w:szCs w:val="21"/>
              </w:rPr>
              <w:t>¥</w:t>
            </w:r>
            <w:r>
              <w:rPr>
                <w:rFonts w:hint="eastAsia" w:cs="仿宋_GB2312"/>
                <w:sz w:val="21"/>
                <w:szCs w:val="21"/>
                <w:u w:val="single"/>
                <w:lang w:val="en-US" w:eastAsia="zh-CN"/>
              </w:rPr>
              <w:t xml:space="preserve">      </w:t>
            </w:r>
            <w:r>
              <w:rPr>
                <w:rFonts w:hint="eastAsia" w:cs="仿宋_GB2312"/>
                <w:sz w:val="21"/>
                <w:szCs w:val="21"/>
                <w:u w:val="none"/>
                <w:lang w:val="en-US" w:eastAsia="zh-CN"/>
              </w:rPr>
              <w:t>）</w:t>
            </w:r>
            <w:r>
              <w:rPr>
                <w:rFonts w:hint="eastAsia" w:ascii="仿宋_GB2312" w:hAnsi="仿宋_GB2312" w:eastAsia="仿宋_GB2312" w:cs="仿宋_GB2312"/>
                <w:sz w:val="21"/>
                <w:szCs w:val="21"/>
              </w:rPr>
              <w:t>，其中含暂列金额人民币</w:t>
            </w:r>
            <w:r>
              <w:rPr>
                <w:rFonts w:hint="eastAsia" w:cs="仿宋_GB2312"/>
                <w:sz w:val="21"/>
                <w:szCs w:val="21"/>
                <w:lang w:eastAsia="zh-CN"/>
              </w:rPr>
              <w:t>大写：</w:t>
            </w:r>
            <w:r>
              <w:rPr>
                <w:rFonts w:hint="eastAsia" w:ascii="仿宋_GB2312" w:hAnsi="仿宋_GB2312" w:eastAsia="仿宋_GB2312" w:cs="仿宋_GB2312"/>
                <w:sz w:val="21"/>
                <w:szCs w:val="21"/>
                <w:u w:val="single"/>
              </w:rPr>
              <w:t xml:space="preserve">    </w:t>
            </w:r>
            <w:r>
              <w:rPr>
                <w:rFonts w:hint="eastAsia" w:cs="仿宋_GB2312"/>
                <w:sz w:val="21"/>
                <w:szCs w:val="21"/>
                <w:u w:val="single"/>
                <w:lang w:val="en-US" w:eastAsia="zh-CN"/>
              </w:rPr>
              <w:t xml:space="preserve">      </w:t>
            </w:r>
            <w:r>
              <w:rPr>
                <w:rFonts w:hint="eastAsia" w:ascii="仿宋_GB2312" w:hAnsi="仿宋_GB2312" w:eastAsia="仿宋_GB2312" w:cs="仿宋_GB2312"/>
                <w:sz w:val="21"/>
                <w:szCs w:val="21"/>
                <w:u w:val="single"/>
              </w:rPr>
              <w:t xml:space="preserve"> </w:t>
            </w:r>
            <w:r>
              <w:rPr>
                <w:rFonts w:hint="eastAsia" w:ascii="仿宋_GB2312" w:hAnsi="仿宋_GB2312" w:eastAsia="仿宋_GB2312" w:cs="仿宋_GB2312"/>
                <w:sz w:val="21"/>
                <w:szCs w:val="21"/>
              </w:rPr>
              <w:t>元</w:t>
            </w:r>
            <w:r>
              <w:rPr>
                <w:rFonts w:hint="eastAsia" w:cs="仿宋_GB2312"/>
                <w:sz w:val="21"/>
                <w:szCs w:val="21"/>
                <w:lang w:eastAsia="zh-CN"/>
              </w:rPr>
              <w:t>（小写：</w:t>
            </w:r>
            <w:r>
              <w:rPr>
                <w:rFonts w:hint="eastAsia" w:ascii="宋体" w:hAnsi="宋体" w:eastAsia="宋体" w:cs="宋体"/>
                <w:bCs/>
                <w:spacing w:val="-4"/>
                <w:sz w:val="21"/>
                <w:szCs w:val="21"/>
              </w:rPr>
              <w:t>¥</w:t>
            </w:r>
            <w:r>
              <w:rPr>
                <w:rFonts w:hint="eastAsia" w:cs="仿宋_GB2312"/>
                <w:sz w:val="21"/>
                <w:szCs w:val="21"/>
                <w:u w:val="single"/>
                <w:lang w:val="en-US" w:eastAsia="zh-CN"/>
              </w:rPr>
              <w:t xml:space="preserve">      </w:t>
            </w:r>
            <w:r>
              <w:rPr>
                <w:rFonts w:hint="eastAsia" w:cs="仿宋_GB2312"/>
                <w:sz w:val="21"/>
                <w:szCs w:val="21"/>
                <w:u w:val="none"/>
                <w:lang w:val="en-US" w:eastAsia="zh-CN"/>
              </w:rPr>
              <w:t>）</w:t>
            </w:r>
            <w:r>
              <w:rPr>
                <w:rFonts w:hint="eastAsia" w:ascii="仿宋_GB2312" w:hAnsi="仿宋_GB2312" w:eastAsia="仿宋_GB2312" w:cs="仿宋_GB2312"/>
                <w:sz w:val="21"/>
                <w:szCs w:val="21"/>
              </w:rPr>
              <w:t>。此价格包括完成展览建设发生的人工费、材料费、机械费、管理费、措施费、利润、规费、税金等全部费用。结算时不因物价波动调整。</w:t>
            </w:r>
          </w:p>
          <w:p>
            <w:pPr>
              <w:pStyle w:val="2"/>
              <w:keepNext w:val="0"/>
              <w:keepLines w:val="0"/>
              <w:pageBreakBefore w:val="0"/>
              <w:widowControl w:val="0"/>
              <w:kinsoku/>
              <w:wordWrap/>
              <w:overflowPunct/>
              <w:topLinePunct w:val="0"/>
              <w:autoSpaceDE/>
              <w:autoSpaceDN/>
              <w:bidi w:val="0"/>
              <w:adjustRightInd w:val="0"/>
              <w:snapToGrid/>
              <w:spacing w:after="0" w:line="320" w:lineRule="exact"/>
              <w:ind w:firstLine="420" w:firstLineChars="200"/>
              <w:textAlignment w:val="auto"/>
              <w:rPr>
                <w:rFonts w:hint="default" w:ascii="仿宋_GB2312" w:hAnsi="仿宋_GB2312" w:eastAsia="仿宋_GB2312" w:cs="仿宋_GB2312"/>
                <w:sz w:val="21"/>
                <w:szCs w:val="21"/>
                <w:u w:val="single"/>
                <w:lang w:val="en-US" w:eastAsia="zh-CN"/>
              </w:rPr>
            </w:pPr>
            <w:r>
              <w:rPr>
                <w:rFonts w:hint="eastAsia" w:ascii="仿宋_GB2312" w:hAnsi="仿宋_GB2312" w:eastAsia="仿宋_GB2312" w:cs="仿宋_GB2312"/>
                <w:sz w:val="21"/>
                <w:szCs w:val="21"/>
              </w:rPr>
              <w:t>□下浮率</w:t>
            </w:r>
            <w:r>
              <w:rPr>
                <w:rFonts w:hint="eastAsia" w:cs="仿宋_GB2312"/>
                <w:sz w:val="21"/>
                <w:szCs w:val="21"/>
                <w:lang w:eastAsia="zh-CN"/>
              </w:rPr>
              <w:t>，</w:t>
            </w:r>
            <w:r>
              <w:rPr>
                <w:rFonts w:hint="eastAsia" w:cs="仿宋_GB2312"/>
                <w:sz w:val="21"/>
                <w:szCs w:val="21"/>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320" w:lineRule="exact"/>
              <w:ind w:firstLine="420" w:firstLineChars="20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□固定单价</w:t>
            </w:r>
          </w:p>
          <w:p>
            <w:pPr>
              <w:pStyle w:val="2"/>
              <w:keepNext w:val="0"/>
              <w:keepLines w:val="0"/>
              <w:pageBreakBefore w:val="0"/>
              <w:widowControl w:val="0"/>
              <w:kinsoku/>
              <w:wordWrap/>
              <w:overflowPunct/>
              <w:topLinePunct w:val="0"/>
              <w:autoSpaceDE/>
              <w:autoSpaceDN/>
              <w:bidi w:val="0"/>
              <w:adjustRightInd w:val="0"/>
              <w:snapToGrid/>
              <w:spacing w:after="0" w:line="320" w:lineRule="exact"/>
              <w:ind w:firstLine="420" w:firstLineChars="20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变更洽商项目及经费调整执行洽商变更和合同价格调整相关内容，在固定总价/固定单价/下浮率合同金额基础上进行调增或调减。</w:t>
            </w:r>
          </w:p>
          <w:p>
            <w:pPr>
              <w:pStyle w:val="2"/>
              <w:keepNext w:val="0"/>
              <w:keepLines w:val="0"/>
              <w:pageBreakBefore w:val="0"/>
              <w:widowControl w:val="0"/>
              <w:kinsoku/>
              <w:wordWrap/>
              <w:overflowPunct/>
              <w:topLinePunct w:val="0"/>
              <w:autoSpaceDE/>
              <w:autoSpaceDN/>
              <w:bidi w:val="0"/>
              <w:adjustRightInd w:val="0"/>
              <w:snapToGrid/>
              <w:spacing w:after="0" w:line="320" w:lineRule="exact"/>
              <w:ind w:firstLine="420" w:firstLineChars="200"/>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sz w:val="21"/>
                <w:szCs w:val="21"/>
              </w:rPr>
              <w:t>以上各项费用均以最终结算审计意见为准。</w:t>
            </w:r>
          </w:p>
        </w:tc>
      </w:tr>
    </w:tbl>
    <w:p>
      <w:pPr>
        <w:pStyle w:val="2"/>
        <w:adjustRightInd w:val="0"/>
        <w:spacing w:after="0" w:line="530" w:lineRule="exact"/>
        <w:ind w:firstLine="560" w:firstLineChars="200"/>
        <w:rPr>
          <w:rFonts w:ascii="仿宋" w:hAnsi="仿宋" w:eastAsia="仿宋_GB2312"/>
          <w:sz w:val="28"/>
          <w:szCs w:val="28"/>
          <w:u w:val="single"/>
        </w:rPr>
      </w:pPr>
      <w:r>
        <w:rPr>
          <w:rFonts w:hint="eastAsia" w:ascii="仿宋" w:hAnsi="仿宋" w:eastAsia="仿宋_GB2312"/>
          <w:sz w:val="28"/>
          <w:szCs w:val="28"/>
        </w:rPr>
        <w:t>其他：</w:t>
      </w:r>
      <w:r>
        <w:rPr>
          <w:rFonts w:ascii="仿宋" w:hAnsi="仿宋" w:eastAsia="仿宋_GB2312"/>
          <w:sz w:val="28"/>
          <w:szCs w:val="28"/>
          <w:u w:val="single"/>
        </w:rPr>
        <w:t xml:space="preserve">                  </w:t>
      </w:r>
      <w:r>
        <w:rPr>
          <w:rFonts w:hint="eastAsia" w:ascii="仿宋" w:hAnsi="仿宋" w:eastAsia="仿宋_GB2312"/>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三、合同履行的时间、地点及方式</w:t>
      </w:r>
    </w:p>
    <w:p>
      <w:pPr>
        <w:pStyle w:val="2"/>
        <w:adjustRightInd w:val="0"/>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（一）展览设计时间：</w:t>
      </w:r>
      <w:r>
        <w:rPr>
          <w:rFonts w:ascii="仿宋" w:hAnsi="仿宋" w:eastAsia="仿宋_GB2312"/>
          <w:sz w:val="28"/>
          <w:szCs w:val="28"/>
          <w:u w:val="single"/>
        </w:rPr>
        <w:t xml:space="preserve">    </w:t>
      </w:r>
      <w:r>
        <w:rPr>
          <w:rFonts w:ascii="仿宋" w:hAnsi="仿宋" w:eastAsia="仿宋_GB2312"/>
          <w:sz w:val="28"/>
          <w:szCs w:val="28"/>
        </w:rPr>
        <w:t>年</w:t>
      </w:r>
      <w:r>
        <w:rPr>
          <w:rFonts w:ascii="仿宋" w:hAnsi="仿宋" w:eastAsia="仿宋_GB2312"/>
          <w:sz w:val="28"/>
          <w:szCs w:val="28"/>
          <w:u w:val="single"/>
        </w:rPr>
        <w:t xml:space="preserve">  </w:t>
      </w:r>
      <w:r>
        <w:rPr>
          <w:rFonts w:ascii="仿宋" w:hAnsi="仿宋" w:eastAsia="仿宋_GB2312"/>
          <w:sz w:val="28"/>
          <w:szCs w:val="28"/>
        </w:rPr>
        <w:t>月</w:t>
      </w:r>
      <w:r>
        <w:rPr>
          <w:rFonts w:ascii="仿宋" w:hAnsi="仿宋" w:eastAsia="仿宋_GB2312"/>
          <w:sz w:val="28"/>
          <w:szCs w:val="28"/>
          <w:u w:val="single"/>
        </w:rPr>
        <w:t xml:space="preserve">  </w:t>
      </w:r>
      <w:r>
        <w:rPr>
          <w:rFonts w:ascii="仿宋" w:hAnsi="仿宋" w:eastAsia="仿宋_GB2312"/>
          <w:sz w:val="28"/>
          <w:szCs w:val="28"/>
        </w:rPr>
        <w:t>日</w:t>
      </w:r>
      <w:r>
        <w:rPr>
          <w:rFonts w:hint="eastAsia" w:ascii="仿宋" w:hAnsi="仿宋"/>
          <w:sz w:val="28"/>
          <w:szCs w:val="28"/>
          <w:lang w:eastAsia="zh-CN"/>
        </w:rPr>
        <w:t>至</w:t>
      </w:r>
      <w:r>
        <w:rPr>
          <w:rFonts w:ascii="仿宋" w:hAnsi="仿宋" w:eastAsia="仿宋_GB2312"/>
          <w:sz w:val="28"/>
          <w:szCs w:val="28"/>
        </w:rPr>
        <w:t xml:space="preserve"> </w:t>
      </w:r>
      <w:r>
        <w:rPr>
          <w:rFonts w:ascii="仿宋" w:hAnsi="仿宋" w:eastAsia="仿宋_GB2312"/>
          <w:sz w:val="28"/>
          <w:szCs w:val="28"/>
          <w:u w:val="single"/>
        </w:rPr>
        <w:t xml:space="preserve">    </w:t>
      </w:r>
      <w:r>
        <w:rPr>
          <w:rFonts w:ascii="仿宋" w:hAnsi="仿宋" w:eastAsia="仿宋_GB2312"/>
          <w:sz w:val="28"/>
          <w:szCs w:val="28"/>
        </w:rPr>
        <w:t>年</w:t>
      </w:r>
      <w:r>
        <w:rPr>
          <w:rFonts w:ascii="仿宋" w:hAnsi="仿宋" w:eastAsia="仿宋_GB2312"/>
          <w:sz w:val="28"/>
          <w:szCs w:val="28"/>
          <w:u w:val="single"/>
        </w:rPr>
        <w:t xml:space="preserve">  </w:t>
      </w:r>
      <w:r>
        <w:rPr>
          <w:rFonts w:ascii="仿宋" w:hAnsi="仿宋" w:eastAsia="仿宋_GB2312"/>
          <w:sz w:val="28"/>
          <w:szCs w:val="28"/>
        </w:rPr>
        <w:t>月</w:t>
      </w:r>
      <w:r>
        <w:rPr>
          <w:rFonts w:ascii="仿宋" w:hAnsi="仿宋" w:eastAsia="仿宋_GB2312"/>
          <w:sz w:val="28"/>
          <w:szCs w:val="28"/>
          <w:u w:val="single"/>
        </w:rPr>
        <w:t xml:space="preserve">  </w:t>
      </w:r>
      <w:r>
        <w:rPr>
          <w:rFonts w:ascii="仿宋" w:hAnsi="仿宋" w:eastAsia="仿宋_GB2312"/>
          <w:sz w:val="28"/>
          <w:szCs w:val="28"/>
        </w:rPr>
        <w:t>日。</w:t>
      </w:r>
    </w:p>
    <w:p>
      <w:pPr>
        <w:pStyle w:val="2"/>
        <w:adjustRightInd w:val="0"/>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（二）布展施工时间：</w:t>
      </w:r>
      <w:r>
        <w:rPr>
          <w:rFonts w:ascii="仿宋" w:hAnsi="仿宋" w:eastAsia="仿宋_GB2312"/>
          <w:sz w:val="28"/>
          <w:szCs w:val="28"/>
          <w:u w:val="single"/>
        </w:rPr>
        <w:t xml:space="preserve">    </w:t>
      </w:r>
      <w:r>
        <w:rPr>
          <w:rFonts w:ascii="仿宋" w:hAnsi="仿宋" w:eastAsia="仿宋_GB2312"/>
          <w:sz w:val="28"/>
          <w:szCs w:val="28"/>
        </w:rPr>
        <w:t>年</w:t>
      </w:r>
      <w:r>
        <w:rPr>
          <w:rFonts w:ascii="仿宋" w:hAnsi="仿宋" w:eastAsia="仿宋_GB2312"/>
          <w:sz w:val="28"/>
          <w:szCs w:val="28"/>
          <w:u w:val="single"/>
        </w:rPr>
        <w:t xml:space="preserve">  </w:t>
      </w:r>
      <w:r>
        <w:rPr>
          <w:rFonts w:ascii="仿宋" w:hAnsi="仿宋" w:eastAsia="仿宋_GB2312"/>
          <w:sz w:val="28"/>
          <w:szCs w:val="28"/>
        </w:rPr>
        <w:t>月</w:t>
      </w:r>
      <w:r>
        <w:rPr>
          <w:rFonts w:ascii="仿宋" w:hAnsi="仿宋" w:eastAsia="仿宋_GB2312"/>
          <w:sz w:val="28"/>
          <w:szCs w:val="28"/>
          <w:u w:val="single"/>
        </w:rPr>
        <w:t xml:space="preserve">  </w:t>
      </w:r>
      <w:r>
        <w:rPr>
          <w:rFonts w:ascii="仿宋" w:hAnsi="仿宋" w:eastAsia="仿宋_GB2312"/>
          <w:sz w:val="28"/>
          <w:szCs w:val="28"/>
        </w:rPr>
        <w:t>日</w:t>
      </w:r>
      <w:r>
        <w:rPr>
          <w:rFonts w:hint="eastAsia" w:ascii="仿宋" w:hAnsi="仿宋"/>
          <w:sz w:val="28"/>
          <w:szCs w:val="28"/>
          <w:lang w:eastAsia="zh-CN"/>
        </w:rPr>
        <w:t>至</w:t>
      </w:r>
      <w:r>
        <w:rPr>
          <w:rFonts w:ascii="仿宋" w:hAnsi="仿宋" w:eastAsia="仿宋_GB2312"/>
          <w:sz w:val="28"/>
          <w:szCs w:val="28"/>
        </w:rPr>
        <w:t xml:space="preserve"> </w:t>
      </w:r>
      <w:r>
        <w:rPr>
          <w:rFonts w:ascii="仿宋" w:hAnsi="仿宋" w:eastAsia="仿宋_GB2312"/>
          <w:sz w:val="28"/>
          <w:szCs w:val="28"/>
          <w:u w:val="single"/>
        </w:rPr>
        <w:t xml:space="preserve">    </w:t>
      </w:r>
      <w:r>
        <w:rPr>
          <w:rFonts w:ascii="仿宋" w:hAnsi="仿宋" w:eastAsia="仿宋_GB2312"/>
          <w:sz w:val="28"/>
          <w:szCs w:val="28"/>
        </w:rPr>
        <w:t>年</w:t>
      </w:r>
      <w:r>
        <w:rPr>
          <w:rFonts w:ascii="仿宋" w:hAnsi="仿宋" w:eastAsia="仿宋_GB2312"/>
          <w:sz w:val="28"/>
          <w:szCs w:val="28"/>
          <w:u w:val="single"/>
        </w:rPr>
        <w:t xml:space="preserve">  </w:t>
      </w:r>
      <w:r>
        <w:rPr>
          <w:rFonts w:ascii="仿宋" w:hAnsi="仿宋" w:eastAsia="仿宋_GB2312"/>
          <w:sz w:val="28"/>
          <w:szCs w:val="28"/>
        </w:rPr>
        <w:t>月</w:t>
      </w:r>
      <w:r>
        <w:rPr>
          <w:rFonts w:ascii="仿宋" w:hAnsi="仿宋" w:eastAsia="仿宋_GB2312"/>
          <w:sz w:val="28"/>
          <w:szCs w:val="28"/>
          <w:u w:val="single"/>
        </w:rPr>
        <w:t xml:space="preserve">  </w:t>
      </w:r>
      <w:r>
        <w:rPr>
          <w:rFonts w:ascii="仿宋" w:hAnsi="仿宋" w:eastAsia="仿宋_GB2312"/>
          <w:sz w:val="28"/>
          <w:szCs w:val="28"/>
        </w:rPr>
        <w:t>日。</w:t>
      </w:r>
    </w:p>
    <w:p>
      <w:pPr>
        <w:pStyle w:val="2"/>
        <w:adjustRightInd w:val="0"/>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□网上展览上线时间：</w:t>
      </w:r>
      <w:r>
        <w:rPr>
          <w:rFonts w:ascii="仿宋" w:hAnsi="仿宋" w:eastAsia="仿宋_GB2312"/>
          <w:sz w:val="28"/>
          <w:szCs w:val="28"/>
          <w:u w:val="single"/>
        </w:rPr>
        <w:t xml:space="preserve">         </w:t>
      </w:r>
      <w:r>
        <w:rPr>
          <w:rFonts w:hint="eastAsia" w:ascii="仿宋" w:hAnsi="仿宋"/>
          <w:sz w:val="28"/>
          <w:szCs w:val="28"/>
          <w:u w:val="single"/>
          <w:lang w:val="en-US" w:eastAsia="zh-CN"/>
        </w:rPr>
        <w:t xml:space="preserve">    </w:t>
      </w:r>
      <w:r>
        <w:rPr>
          <w:rFonts w:ascii="仿宋" w:hAnsi="仿宋" w:eastAsia="仿宋_GB2312"/>
          <w:sz w:val="28"/>
          <w:szCs w:val="28"/>
          <w:u w:val="single"/>
        </w:rPr>
        <w:t xml:space="preserve">                 </w:t>
      </w:r>
      <w:r>
        <w:rPr>
          <w:rFonts w:ascii="仿宋" w:hAnsi="仿宋" w:eastAsia="仿宋_GB2312"/>
          <w:sz w:val="28"/>
          <w:szCs w:val="28"/>
        </w:rPr>
        <w:t>。</w:t>
      </w:r>
    </w:p>
    <w:p>
      <w:pPr>
        <w:pStyle w:val="2"/>
        <w:adjustRightInd w:val="0"/>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（三）布展施工地点：</w:t>
      </w:r>
      <w:r>
        <w:rPr>
          <w:rFonts w:ascii="仿宋" w:hAnsi="仿宋" w:eastAsia="仿宋_GB2312"/>
          <w:sz w:val="28"/>
          <w:szCs w:val="28"/>
          <w:u w:val="single"/>
        </w:rPr>
        <w:t xml:space="preserve">                              </w:t>
      </w:r>
      <w:r>
        <w:rPr>
          <w:rFonts w:ascii="仿宋" w:hAnsi="仿宋" w:eastAsia="仿宋_GB2312"/>
          <w:sz w:val="28"/>
          <w:szCs w:val="28"/>
        </w:rPr>
        <w:t>。</w:t>
      </w:r>
    </w:p>
    <w:p>
      <w:pPr>
        <w:pStyle w:val="2"/>
        <w:adjustRightInd w:val="0"/>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（四）展览面积：</w:t>
      </w:r>
      <w:r>
        <w:rPr>
          <w:rFonts w:ascii="仿宋" w:hAnsi="仿宋" w:eastAsia="仿宋_GB2312"/>
          <w:sz w:val="28"/>
          <w:szCs w:val="28"/>
          <w:u w:val="single"/>
        </w:rPr>
        <w:t xml:space="preserve">           </w:t>
      </w:r>
      <w:r>
        <w:rPr>
          <w:rFonts w:hint="eastAsia" w:ascii="仿宋" w:hAnsi="仿宋"/>
          <w:sz w:val="28"/>
          <w:szCs w:val="28"/>
          <w:u w:val="single"/>
          <w:lang w:val="en-US" w:eastAsia="zh-CN"/>
        </w:rPr>
        <w:t xml:space="preserve">    </w:t>
      </w:r>
      <w:r>
        <w:rPr>
          <w:rFonts w:ascii="仿宋" w:hAnsi="仿宋" w:eastAsia="仿宋_GB2312"/>
          <w:sz w:val="28"/>
          <w:szCs w:val="28"/>
          <w:u w:val="single"/>
        </w:rPr>
        <w:t xml:space="preserve">                   </w:t>
      </w:r>
      <w:r>
        <w:rPr>
          <w:rFonts w:ascii="仿宋" w:hAnsi="仿宋" w:eastAsia="仿宋_GB2312"/>
          <w:sz w:val="28"/>
          <w:szCs w:val="28"/>
        </w:rPr>
        <w:t>。</w:t>
      </w:r>
    </w:p>
    <w:p>
      <w:pPr>
        <w:pStyle w:val="2"/>
        <w:adjustRightInd w:val="0"/>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（五）甲方有权监督乙方的工作，并提出合理修改建议。</w:t>
      </w:r>
    </w:p>
    <w:p>
      <w:pPr>
        <w:pStyle w:val="2"/>
        <w:adjustRightInd w:val="0"/>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（六）乙方</w:t>
      </w:r>
      <w:r>
        <w:rPr>
          <w:rFonts w:hint="eastAsia" w:ascii="仿宋" w:hAnsi="仿宋"/>
          <w:sz w:val="28"/>
          <w:szCs w:val="28"/>
          <w:lang w:eastAsia="zh-CN"/>
        </w:rPr>
        <w:t>应当免费</w:t>
      </w:r>
      <w:r>
        <w:rPr>
          <w:rFonts w:hint="eastAsia" w:ascii="仿宋" w:hAnsi="仿宋" w:eastAsia="仿宋_GB2312"/>
          <w:sz w:val="28"/>
          <w:szCs w:val="28"/>
        </w:rPr>
        <w:t>提供展览设计、搭建布展等方面的咨询服务。</w:t>
      </w:r>
    </w:p>
    <w:p>
      <w:pPr>
        <w:pStyle w:val="2"/>
        <w:adjustRightInd w:val="0"/>
        <w:spacing w:after="0" w:line="530" w:lineRule="exact"/>
        <w:ind w:firstLine="560" w:firstLineChars="200"/>
        <w:rPr>
          <w:rFonts w:ascii="仿宋" w:hAnsi="仿宋" w:eastAsia="仿宋_GB2312"/>
          <w:sz w:val="28"/>
          <w:szCs w:val="28"/>
          <w:u w:val="single"/>
        </w:rPr>
      </w:pPr>
      <w:r>
        <w:rPr>
          <w:rFonts w:hint="eastAsia" w:ascii="仿宋" w:hAnsi="仿宋" w:eastAsia="仿宋_GB2312"/>
          <w:sz w:val="28"/>
          <w:szCs w:val="28"/>
        </w:rPr>
        <w:t>其他：</w:t>
      </w:r>
      <w:r>
        <w:rPr>
          <w:rFonts w:ascii="仿宋" w:hAnsi="仿宋" w:eastAsia="仿宋_GB2312"/>
          <w:sz w:val="28"/>
          <w:szCs w:val="28"/>
          <w:u w:val="single"/>
        </w:rPr>
        <w:t xml:space="preserve">                  </w:t>
      </w:r>
      <w:r>
        <w:rPr>
          <w:rFonts w:hint="eastAsia" w:ascii="仿宋" w:hAnsi="仿宋" w:eastAsia="仿宋_GB2312"/>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四、</w:t>
      </w:r>
      <w:bookmarkStart w:id="0" w:name="_Hlk129351178"/>
      <w:r>
        <w:rPr>
          <w:rFonts w:hint="eastAsia" w:ascii="黑体" w:hAnsi="黑体"/>
          <w:b w:val="0"/>
          <w:bCs w:val="0"/>
        </w:rPr>
        <w:t>应用场景</w:t>
      </w:r>
      <w:bookmarkEnd w:id="0"/>
      <w:r>
        <w:rPr>
          <w:rFonts w:hint="eastAsia" w:ascii="黑体" w:hAnsi="黑体"/>
          <w:b w:val="0"/>
          <w:bCs w:val="0"/>
        </w:rPr>
        <w:t>、</w:t>
      </w:r>
      <w:bookmarkStart w:id="1" w:name="_Hlk129351232"/>
      <w:r>
        <w:rPr>
          <w:rFonts w:hint="eastAsia" w:ascii="黑体" w:hAnsi="黑体"/>
          <w:b w:val="0"/>
          <w:bCs w:val="0"/>
        </w:rPr>
        <w:t>服务内容和标准</w:t>
      </w:r>
      <w:bookmarkEnd w:id="1"/>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□（一）合同的应用场景：</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（二）服务交付的内容：</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（三）合同使用标准、规范：</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设计质量标准：满足各阶段国家和军队有关规范要求；</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布展施工质量标准：合格。</w:t>
      </w:r>
    </w:p>
    <w:p>
      <w:pPr>
        <w:pStyle w:val="6"/>
        <w:keepNext w:val="0"/>
        <w:keepLines w:val="0"/>
        <w:adjustRightInd w:val="0"/>
        <w:spacing w:before="0" w:after="120" w:afterLines="50" w:line="530" w:lineRule="exact"/>
        <w:ind w:firstLine="560" w:firstLineChars="200"/>
        <w:rPr>
          <w:rFonts w:ascii="黑体" w:hAnsi="黑体"/>
          <w:b w:val="0"/>
          <w:bCs w:val="0"/>
        </w:rPr>
      </w:pPr>
      <w:r>
        <w:rPr>
          <w:rFonts w:hint="eastAsia" w:ascii="黑体" w:hAnsi="黑体"/>
          <w:b w:val="0"/>
          <w:bCs w:val="0"/>
        </w:rPr>
        <w:t>□五、</w:t>
      </w:r>
      <w:bookmarkStart w:id="2" w:name="_Hlk129352073"/>
      <w:r>
        <w:rPr>
          <w:rFonts w:hint="eastAsia" w:ascii="黑体" w:hAnsi="黑体"/>
          <w:b w:val="0"/>
          <w:bCs w:val="0"/>
        </w:rPr>
        <w:t>服务实施分期考核内容及标准</w:t>
      </w:r>
      <w:bookmarkEnd w:id="2"/>
    </w:p>
    <w:tbl>
      <w:tblPr>
        <w:tblStyle w:val="13"/>
        <w:tblW w:w="8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2086"/>
        <w:gridCol w:w="2506"/>
        <w:gridCol w:w="2300"/>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2086"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考核部位或场所</w:t>
            </w:r>
          </w:p>
        </w:tc>
        <w:tc>
          <w:tcPr>
            <w:tcW w:w="2506"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考核内容</w:t>
            </w:r>
          </w:p>
        </w:tc>
        <w:tc>
          <w:tcPr>
            <w:tcW w:w="2300"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考核标准</w:t>
            </w:r>
          </w:p>
        </w:tc>
        <w:tc>
          <w:tcPr>
            <w:tcW w:w="939"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208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50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300"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939"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208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50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300"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939"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bCs/>
                <w:spacing w:val="-4"/>
                <w:sz w:val="21"/>
                <w:szCs w:val="21"/>
              </w:rPr>
              <w:t>…</w:t>
            </w:r>
          </w:p>
        </w:tc>
        <w:tc>
          <w:tcPr>
            <w:tcW w:w="208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50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300"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939"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r>
    </w:tbl>
    <w:p>
      <w:pPr>
        <w:pStyle w:val="6"/>
        <w:keepNext w:val="0"/>
        <w:keepLines w:val="0"/>
        <w:adjustRightInd w:val="0"/>
        <w:spacing w:before="120" w:beforeLines="50" w:after="0" w:line="530" w:lineRule="exact"/>
        <w:ind w:firstLine="560" w:firstLineChars="200"/>
        <w:rPr>
          <w:rFonts w:ascii="黑体" w:hAnsi="黑体"/>
          <w:b w:val="0"/>
          <w:bCs w:val="0"/>
        </w:rPr>
      </w:pPr>
      <w:r>
        <w:rPr>
          <w:rFonts w:hint="eastAsia" w:ascii="黑体" w:hAnsi="黑体"/>
          <w:b w:val="0"/>
          <w:bCs w:val="0"/>
        </w:rPr>
        <w:t>六、履约验收</w:t>
      </w:r>
    </w:p>
    <w:p>
      <w:pPr>
        <w:adjustRightInd w:val="0"/>
        <w:spacing w:line="530" w:lineRule="exact"/>
        <w:ind w:firstLine="560" w:firstLineChars="200"/>
        <w:rPr>
          <w:rFonts w:ascii="楷体" w:hAnsi="楷体" w:eastAsia="楷体_GB2312"/>
          <w:bCs/>
          <w:sz w:val="28"/>
          <w:szCs w:val="28"/>
        </w:rPr>
      </w:pPr>
      <w:r>
        <w:rPr>
          <w:rFonts w:hint="eastAsia" w:ascii="仿宋" w:hAnsi="仿宋" w:eastAsia="仿宋_GB2312"/>
          <w:bCs/>
          <w:sz w:val="28"/>
          <w:szCs w:val="28"/>
        </w:rPr>
        <w:t>本合同交付服务的履约验收，其方式、程序、内容和验收标准等事项，按甲方规定执行。</w:t>
      </w:r>
      <w:r>
        <w:rPr>
          <w:rFonts w:hint="eastAsia" w:ascii="楷体" w:hAnsi="楷体" w:eastAsia="楷体_GB2312" w:cs="楷体_GB2312"/>
          <w:bCs/>
          <w:sz w:val="24"/>
        </w:rPr>
        <w:t>（应在采购文件中予以明确，特别是涉及经费事项）</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（一）服务交付验收</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1.</w:t>
      </w:r>
      <w:r>
        <w:rPr>
          <w:rFonts w:hint="eastAsia" w:ascii="仿宋" w:hAnsi="仿宋" w:eastAsia="仿宋_GB2312"/>
          <w:bCs/>
          <w:sz w:val="28"/>
          <w:szCs w:val="28"/>
        </w:rPr>
        <w:t>甲方对乙方交付的服务成果进行审定验收，服务成果达到合同约定的标准和规范的，应当验收通过</w:t>
      </w:r>
      <w:r>
        <w:rPr>
          <w:rFonts w:hint="eastAsia" w:ascii="仿宋" w:hAnsi="仿宋"/>
          <w:bCs/>
          <w:sz w:val="28"/>
          <w:szCs w:val="28"/>
          <w:lang w:eastAsia="zh-CN"/>
        </w:rPr>
        <w:t>；</w:t>
      </w:r>
      <w:r>
        <w:rPr>
          <w:rFonts w:hint="eastAsia" w:ascii="仿宋" w:hAnsi="仿宋" w:eastAsia="仿宋_GB2312"/>
          <w:bCs/>
          <w:sz w:val="28"/>
          <w:szCs w:val="28"/>
        </w:rPr>
        <w:t>未达到合同约定的标准和规范的，甲方应当书面通知乙方在合理期限内补充修改或重新提交的服务成果文件，合同期限不予顺延，由此增加的费用或延误的工期由乙方承担。</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2.</w:t>
      </w:r>
      <w:r>
        <w:rPr>
          <w:rFonts w:hint="eastAsia" w:ascii="仿宋" w:hAnsi="仿宋" w:eastAsia="仿宋_GB2312"/>
          <w:bCs/>
          <w:sz w:val="28"/>
          <w:szCs w:val="28"/>
        </w:rPr>
        <w:t>若乙方在甲方给定的合理期限内，经过补充修改或重新提交的服务成果仍不能提供符合合同约定，则甲方有权解除合同，并另行委托其它单位补充修改或重新提交的服务成果，乙方应当承担因另行委托而产生的全部费用以及给甲方造成的损失。</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3.</w:t>
      </w:r>
      <w:r>
        <w:rPr>
          <w:rFonts w:hint="eastAsia" w:ascii="仿宋" w:hAnsi="仿宋" w:eastAsia="仿宋_GB2312"/>
          <w:bCs/>
          <w:sz w:val="28"/>
          <w:szCs w:val="28"/>
        </w:rPr>
        <w:t>服务交付验收的时间为：</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4.</w:t>
      </w:r>
      <w:r>
        <w:rPr>
          <w:rFonts w:hint="eastAsia" w:ascii="仿宋" w:hAnsi="仿宋" w:eastAsia="仿宋_GB2312"/>
          <w:bCs/>
          <w:sz w:val="28"/>
          <w:szCs w:val="28"/>
        </w:rPr>
        <w:t>服务交付验收的其他要求：</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（二）展览设计要求</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1.甲方应当向乙方提供所掌握的与该项目有关资料，包括但不限于展览设计有关的场地资料、博物馆CI及有关文字、图片等各种资料，并保证所提供的材料合法、完整、有效，否则甲方对此承担所有责任。</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乙方按甲方要求设计效果图，由甲方负责审定图纸，确认最终的设计方案。在确定方案后，因甲方提出对已经议定的项目服务内容进行重大变更致使相应工作重新开始的或增加乙方工作量的，双方应当按变更洽商执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3.乙方的设计方案由甲方书面确认。乙方未按时提供设计方案导致布展工作未在约定时间内完成的，乙方还应当承担相应违约责任。</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4.经确认的设计方案，若特殊情况需要更改的，按变更洽商执行。</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（三）布展要求</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1.甲方负责场地施工协调，提供乙方进行展览搭建的场地。</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2.展览搭建由乙方负责，乙方须按与甲方商议好的要求进行现场搭建。</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展览搭建完毕，乙方应当通知甲方一同到现场即时进行验收，甲方验收合格并签署验收单即为确认搭建成果。验收标准以甲、乙方确定的设计方案为准。甲方验收仅为形式验收，甲方验收合格并不免除乙方的质量保证义务，乙方仍然需要保证展览搭建的安全性、美观性、实用性。</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项目设计建设中，除严格遵守国家、军队、行业及项目所在地相关法律、规范、标准以及发包人甲方要求外，还应当遵守（T/CBDA 40-2020）</w:t>
      </w:r>
      <w:r>
        <w:rPr>
          <w:rFonts w:ascii="仿宋" w:hAnsi="仿宋" w:eastAsia="仿宋_GB2312"/>
          <w:bCs/>
          <w:sz w:val="28"/>
          <w:szCs w:val="28"/>
        </w:rPr>
        <w:t>《展览陈列工程技术规程》及涉及的照明、文物展柜、消防、环保等各项规范和标准。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4.乙方须在本合同确定的期限内完成展览的搭建，否则引起的甲方损失由乙方承担。但因不可抗力的因素造成的损失，乙方不承担任何责任。</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5.布展所需人工、材料等各项费用已经全部包含在本合同总价款之中，甲方无需再向乙方另行支付任何费用。</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6.乙方应当制定完备的预备方案，以防止会展过程中出现的各种情形，出现事故应当及时启动预备方案尽快处理，因此产生的各项费用由乙方承担。</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□7.展览结束之后，乙方须根据甲方的</w:t>
      </w:r>
      <w:r>
        <w:rPr>
          <w:rFonts w:ascii="仿宋" w:hAnsi="仿宋" w:eastAsia="仿宋_GB2312"/>
          <w:bCs/>
          <w:sz w:val="28"/>
          <w:szCs w:val="28"/>
        </w:rPr>
        <w:t>要求负责撤展事宜。</w:t>
      </w:r>
    </w:p>
    <w:p>
      <w:pPr>
        <w:adjustRightInd w:val="0"/>
        <w:spacing w:line="530" w:lineRule="exact"/>
        <w:ind w:firstLine="560" w:firstLineChars="200"/>
        <w:rPr>
          <w:rFonts w:hint="eastAsia" w:ascii="仿宋" w:hAnsi="仿宋" w:eastAsia="仿宋_GB2312"/>
          <w:bCs/>
          <w:sz w:val="28"/>
          <w:szCs w:val="28"/>
          <w:lang w:eastAsia="zh-CN"/>
        </w:rPr>
      </w:pPr>
      <w:r>
        <w:rPr>
          <w:rFonts w:hint="eastAsia" w:ascii="仿宋" w:hAnsi="仿宋" w:eastAsia="仿宋_GB2312"/>
          <w:bCs/>
          <w:sz w:val="28"/>
          <w:szCs w:val="28"/>
        </w:rPr>
        <w:t>（四）</w:t>
      </w:r>
      <w:r>
        <w:rPr>
          <w:rFonts w:hint="eastAsia" w:ascii="仿宋" w:hAnsi="仿宋"/>
          <w:bCs/>
          <w:sz w:val="28"/>
          <w:szCs w:val="28"/>
          <w:lang w:eastAsia="zh-CN"/>
        </w:rPr>
        <w:t>第三方监理</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eastAsia="仿宋_GB2312"/>
          <w:bCs/>
          <w:sz w:val="28"/>
          <w:szCs w:val="28"/>
        </w:rPr>
        <w:t>甲方有权聘请拥有相应的资质的第三方作为本项目的监理。如甲方指定了第三方作为甲方的监理，依甲方的授权，该监理享有与本合同中所约定的甲方同等的权利，以监理本项目进行。</w:t>
      </w:r>
    </w:p>
    <w:p>
      <w:pPr>
        <w:adjustRightInd w:val="0"/>
        <w:spacing w:line="530" w:lineRule="exact"/>
        <w:ind w:firstLine="560" w:firstLineChars="200"/>
        <w:rPr>
          <w:rFonts w:ascii="仿宋" w:hAnsi="仿宋" w:eastAsia="仿宋_GB2312"/>
          <w:bCs/>
          <w:sz w:val="28"/>
          <w:szCs w:val="28"/>
        </w:rPr>
      </w:pPr>
      <w:r>
        <w:rPr>
          <w:rFonts w:hint="eastAsia" w:ascii="仿宋" w:hAnsi="仿宋"/>
          <w:bCs/>
          <w:sz w:val="28"/>
          <w:szCs w:val="28"/>
          <w:lang w:eastAsia="zh-CN"/>
        </w:rPr>
        <w:t>（五）</w:t>
      </w:r>
      <w:r>
        <w:rPr>
          <w:rFonts w:hint="eastAsia" w:ascii="仿宋" w:hAnsi="仿宋" w:eastAsia="仿宋_GB2312"/>
          <w:bCs/>
          <w:sz w:val="28"/>
          <w:szCs w:val="28"/>
        </w:rPr>
        <w:t>安全及其他保障</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1．乙方有权要求甲方提供必要的展览信息资料，以便开展工作，提供更好的设计、搭建、撤展、咨询等服务。</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2.乙方承诺及时支付搭建工人的工资、保证会展工作顺利进行。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应当做好安全防护，确保施工安全；乙方或乙方工作人员在合同履行过程中遭受人身伤害或财产损失的，或给甲方、甲方雇员或第三方人身或财产造成损害的，乙方应当负责处理并承担全部责任，并保障甲方免负任何法律责任。若甲方代为承担相应责任的，有权向乙方全额追偿。</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4.乙方应当保证展览的安全性，如果引起安全事故，乙方应当及时采取补救措施并承担因此给甲方及第三方造成的损失。</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5.乙方保证按照设计方案完成布展工作。</w:t>
      </w:r>
    </w:p>
    <w:p>
      <w:pPr>
        <w:adjustRightInd w:val="0"/>
        <w:spacing w:line="530" w:lineRule="exact"/>
        <w:ind w:firstLine="560" w:firstLineChars="200"/>
        <w:rPr>
          <w:rFonts w:ascii="仿宋" w:hAnsi="仿宋" w:eastAsia="仿宋_GB2312"/>
          <w:bCs/>
          <w:sz w:val="28"/>
          <w:szCs w:val="28"/>
          <w:u w:val="single"/>
        </w:rPr>
      </w:pPr>
      <w:r>
        <w:rPr>
          <w:rFonts w:hint="eastAsia" w:ascii="仿宋" w:hAnsi="仿宋" w:eastAsia="仿宋_GB2312"/>
          <w:bCs/>
          <w:sz w:val="28"/>
          <w:szCs w:val="28"/>
        </w:rPr>
        <w:t>□（</w:t>
      </w:r>
      <w:r>
        <w:rPr>
          <w:rFonts w:hint="eastAsia" w:ascii="仿宋" w:hAnsi="仿宋"/>
          <w:bCs/>
          <w:sz w:val="28"/>
          <w:szCs w:val="28"/>
          <w:lang w:eastAsia="zh-CN"/>
        </w:rPr>
        <w:t>六</w:t>
      </w:r>
      <w:r>
        <w:rPr>
          <w:rFonts w:hint="eastAsia" w:ascii="仿宋" w:hAnsi="仿宋" w:eastAsia="仿宋_GB2312"/>
          <w:bCs/>
          <w:sz w:val="28"/>
          <w:szCs w:val="28"/>
        </w:rPr>
        <w:t>）其他：</w:t>
      </w:r>
      <w:r>
        <w:rPr>
          <w:rFonts w:hint="eastAsia" w:ascii="仿宋" w:hAnsi="仿宋" w:eastAsia="仿宋_GB2312"/>
          <w:bCs/>
          <w:sz w:val="28"/>
          <w:szCs w:val="28"/>
          <w:u w:val="single"/>
        </w:rPr>
        <w:t xml:space="preserve">                        </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七、洽商变更</w:t>
      </w:r>
    </w:p>
    <w:p>
      <w:pPr>
        <w:pStyle w:val="2"/>
        <w:keepNext w:val="0"/>
        <w:keepLines w:val="0"/>
        <w:pageBreakBefore w:val="0"/>
        <w:widowControl w:val="0"/>
        <w:kinsoku/>
        <w:wordWrap/>
        <w:overflowPunct/>
        <w:topLinePunct w:val="0"/>
        <w:autoSpaceDE/>
        <w:autoSpaceDN/>
        <w:bidi w:val="0"/>
        <w:adjustRightInd/>
        <w:snapToGrid/>
        <w:spacing w:after="0" w:line="530" w:lineRule="exact"/>
        <w:ind w:firstLine="560" w:firstLineChars="200"/>
        <w:textAlignment w:val="auto"/>
      </w:pPr>
      <w:r>
        <w:rPr>
          <w:rFonts w:ascii="仿宋" w:hAnsi="仿宋" w:eastAsia="仿宋_GB2312"/>
          <w:bCs/>
          <w:sz w:val="28"/>
          <w:szCs w:val="28"/>
          <w:u w:val="single"/>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□八、物资编目编码、打码贴签要求</w:t>
      </w:r>
      <w:r>
        <w:rPr>
          <w:rFonts w:hint="eastAsia" w:ascii="楷体" w:hAnsi="楷体" w:eastAsia="楷体_GB2312"/>
          <w:b w:val="0"/>
          <w:bCs w:val="0"/>
          <w:sz w:val="24"/>
        </w:rPr>
        <w:t>（合同标的包含物资的，按照下列要求对物资进行编目编码和打码贴签）</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可通过军队采购网互联网网站（www.plap.mil.cn），下载安装编目用户终端软件。按要求录入采购物资数据，导入技术规范、产品说明书、图片等便于物资识别的电子文件资料，生成编目申请数据包，提交甲方或承担军队资产编目编码职能的单位。</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2.乙方应当配合甲方或承担军队资产编目编码职能的单位，补充完善编目数据。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3.乙方通过甲方接收赋码后的编目数据包，导入编目用户终端软件，获取品种码，正确填入合同文本，用于打码贴签、验收结算等。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4.甲方有单件管理需要的，乙方应当依据规则或示例程序自行生成单件码。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（二）乙方应当按照统一要求在物资交</w:t>
      </w:r>
      <w:r>
        <w:rPr>
          <w:rFonts w:hint="eastAsia" w:cs="仿宋_GB2312"/>
          <w:bCs/>
          <w:sz w:val="28"/>
          <w:szCs w:val="28"/>
          <w:lang w:eastAsia="zh-CN"/>
        </w:rPr>
        <w:t>货</w:t>
      </w:r>
      <w:r>
        <w:rPr>
          <w:rFonts w:hint="eastAsia" w:ascii="仿宋_GB2312" w:hAnsi="仿宋_GB2312" w:eastAsia="仿宋_GB2312" w:cs="仿宋_GB2312"/>
          <w:bCs/>
          <w:sz w:val="28"/>
          <w:szCs w:val="28"/>
        </w:rPr>
        <w:t>前完成打码贴签工作。</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1.物资标识标签格式、张挂位置、材质、码制等内容，应当符合军队有关要求。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2.物资标识标签上的品种码应当与合同物资明细表中的品种码完全一致。</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（三）物资编目数据填报和打码贴签情况，列入出厂</w:t>
      </w:r>
      <w:r>
        <w:rPr>
          <w:rFonts w:hint="eastAsia" w:cs="仿宋_GB2312"/>
          <w:bCs/>
          <w:sz w:val="28"/>
          <w:szCs w:val="28"/>
          <w:lang w:eastAsia="zh-CN"/>
        </w:rPr>
        <w:t>检验</w:t>
      </w:r>
      <w:r>
        <w:rPr>
          <w:rFonts w:hint="eastAsia" w:ascii="仿宋_GB2312" w:hAnsi="仿宋_GB2312" w:eastAsia="仿宋_GB2312" w:cs="仿宋_GB2312"/>
          <w:bCs/>
          <w:sz w:val="28"/>
          <w:szCs w:val="28"/>
        </w:rPr>
        <w:t>、到货</w:t>
      </w:r>
      <w:r>
        <w:rPr>
          <w:rFonts w:hint="eastAsia" w:cs="仿宋_GB2312"/>
          <w:bCs/>
          <w:sz w:val="28"/>
          <w:szCs w:val="28"/>
          <w:lang w:eastAsia="zh-CN"/>
        </w:rPr>
        <w:t>检验内容，</w:t>
      </w:r>
      <w:r>
        <w:rPr>
          <w:rFonts w:hint="eastAsia" w:ascii="仿宋_GB2312" w:hAnsi="仿宋_GB2312" w:eastAsia="仿宋_GB2312" w:cs="仿宋_GB2312"/>
          <w:bCs/>
          <w:sz w:val="28"/>
          <w:szCs w:val="28"/>
        </w:rPr>
        <w:t>编目数据、标识标签不符合规范要求的，不予通过，不得进入物资储存单位。乙方应当在7日内完成整改</w:t>
      </w:r>
      <w:r>
        <w:rPr>
          <w:rFonts w:hint="eastAsia" w:cs="仿宋_GB2312"/>
          <w:bCs/>
          <w:sz w:val="28"/>
          <w:szCs w:val="28"/>
          <w:lang w:eastAsia="zh-CN"/>
        </w:rPr>
        <w:t>，并重新进行检验</w:t>
      </w:r>
      <w:r>
        <w:rPr>
          <w:rFonts w:hint="eastAsia" w:ascii="仿宋_GB2312" w:hAnsi="仿宋_GB2312" w:eastAsia="仿宋_GB2312" w:cs="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□九、保密要求</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□十、履约保证金</w:t>
      </w:r>
      <w:r>
        <w:rPr>
          <w:rFonts w:hint="eastAsia" w:ascii="楷体" w:hAnsi="楷体" w:eastAsia="楷体_GB2312"/>
          <w:b w:val="0"/>
          <w:bCs w:val="0"/>
          <w:sz w:val="24"/>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（一）本合同履约保证金为合同金额的</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bCs/>
          <w:sz w:val="28"/>
          <w:szCs w:val="28"/>
          <w:lang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rPr>
        <w:t>（不超过10%）</w:t>
      </w:r>
      <w:r>
        <w:rPr>
          <w:rFonts w:hint="eastAsia" w:ascii="仿宋" w:hAnsi="仿宋" w:eastAsia="仿宋_GB2312"/>
          <w:bCs/>
          <w:sz w:val="28"/>
          <w:szCs w:val="28"/>
        </w:rPr>
        <w:t>。</w:t>
      </w:r>
      <w:r>
        <w:rPr>
          <w:rFonts w:hint="eastAsia" w:ascii="仿宋_GB2312" w:hAnsi="仿宋_GB2312" w:eastAsia="仿宋_GB2312" w:cs="仿宋_GB2312"/>
          <w:bCs/>
          <w:sz w:val="28"/>
          <w:szCs w:val="28"/>
        </w:rPr>
        <w:t>乙方应当在签订合同前</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日内缴纳履约保证金。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（二）乙方在合同履行过程中存在违约行为，合同被甲方终止的，甲方有权没收乙方履约保证金。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（三）履约保证金在合同最终支付结算时，无息返还。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（四）乙方应当向甲方支付合同项下的违约金或赔偿金时，甲方有权从履约保证金中予以扣除。</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十一、资金结算</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（一）合同约定采用下列之一的方式进行资金结算：</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本合同无</w:t>
      </w:r>
      <w:r>
        <w:rPr>
          <w:rFonts w:hint="eastAsia" w:ascii="仿宋_GB2312" w:hAnsi="仿宋_GB2312" w:eastAsia="仿宋_GB2312" w:cs="仿宋_GB2312"/>
          <w:bCs/>
          <w:sz w:val="28"/>
          <w:szCs w:val="28"/>
          <w:lang w:val="zh-CN"/>
        </w:rPr>
        <w:t>预付款，服务完成</w:t>
      </w:r>
      <w:r>
        <w:rPr>
          <w:rFonts w:hint="eastAsia" w:cs="仿宋_GB2312"/>
          <w:bCs/>
          <w:sz w:val="28"/>
          <w:szCs w:val="28"/>
          <w:lang w:val="zh-CN"/>
        </w:rPr>
        <w:t>并验收合格</w:t>
      </w:r>
      <w:r>
        <w:rPr>
          <w:rFonts w:hint="eastAsia" w:ascii="仿宋_GB2312" w:hAnsi="仿宋_GB2312" w:eastAsia="仿宋_GB2312" w:cs="仿宋_GB2312"/>
          <w:bCs/>
          <w:sz w:val="28"/>
          <w:szCs w:val="28"/>
          <w:lang w:val="zh-CN"/>
        </w:rPr>
        <w:t>后，乙方收集发票、验收报告等</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zh-CN"/>
        </w:rPr>
        <w:t>，提交</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办理结算手续，</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在</w:t>
      </w:r>
      <w:r>
        <w:rPr>
          <w:rFonts w:hint="eastAsia" w:ascii="仿宋_GB2312" w:hAnsi="仿宋_GB2312" w:eastAsia="仿宋_GB2312" w:cs="仿宋_GB2312"/>
          <w:bCs/>
          <w:sz w:val="28"/>
          <w:szCs w:val="28"/>
          <w:u w:val="single"/>
          <w:lang w:val="zh-CN"/>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lang w:val="zh-CN"/>
        </w:rPr>
        <w:t>日内向乙方支付</w:t>
      </w:r>
      <w:r>
        <w:rPr>
          <w:rFonts w:hint="eastAsia" w:cs="仿宋_GB2312"/>
          <w:bCs/>
          <w:sz w:val="28"/>
          <w:szCs w:val="28"/>
          <w:lang w:val="zh-CN"/>
        </w:rPr>
        <w:t>全部合同款项，即</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zh-CN"/>
        </w:rPr>
        <w:t>。</w:t>
      </w:r>
      <w:r>
        <w:rPr>
          <w:rFonts w:hint="eastAsia" w:ascii="楷体_GB2312" w:hAnsi="楷体_GB2312" w:eastAsia="楷体_GB2312" w:cs="楷体_GB2312"/>
          <w:bCs/>
          <w:sz w:val="24"/>
          <w:szCs w:val="24"/>
        </w:rPr>
        <w:t>（适用于采购金额小履约周期短的采购项目）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lang w:val="zh-CN"/>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zh-CN"/>
        </w:rPr>
        <w:t>合同签订后</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日内</w:t>
      </w:r>
      <w:r>
        <w:rPr>
          <w:rFonts w:hint="eastAsia" w:ascii="仿宋" w:hAnsi="仿宋"/>
          <w:bCs/>
          <w:sz w:val="28"/>
          <w:szCs w:val="28"/>
          <w:lang w:val="zh-CN"/>
        </w:rPr>
        <w:t>，甲方预付合同金额的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w:t>
      </w:r>
      <w:r>
        <w:rPr>
          <w:rFonts w:hint="eastAsia" w:ascii="仿宋" w:hAnsi="仿宋"/>
          <w:bCs/>
          <w:sz w:val="28"/>
          <w:szCs w:val="28"/>
          <w:lang w:val="zh-CN"/>
        </w:rPr>
        <w:t>，即</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u w:val="none"/>
        </w:rPr>
        <w:t>（</w:t>
      </w:r>
      <w:r>
        <w:rPr>
          <w:rFonts w:hint="eastAsia" w:ascii="楷体_GB2312" w:hAnsi="楷体_GB2312" w:eastAsia="楷体_GB2312" w:cs="楷体_GB2312"/>
          <w:bCs/>
          <w:sz w:val="24"/>
          <w:szCs w:val="24"/>
          <w:u w:val="none"/>
          <w:lang w:eastAsia="zh-CN"/>
        </w:rPr>
        <w:t>不得</w:t>
      </w:r>
      <w:r>
        <w:rPr>
          <w:rFonts w:hint="eastAsia" w:ascii="楷体_GB2312" w:hAnsi="楷体_GB2312" w:eastAsia="楷体_GB2312" w:cs="楷体_GB2312"/>
          <w:bCs/>
          <w:sz w:val="24"/>
          <w:szCs w:val="24"/>
          <w:u w:val="none"/>
        </w:rPr>
        <w:t>超过</w:t>
      </w:r>
      <w:r>
        <w:rPr>
          <w:rFonts w:hint="eastAsia" w:ascii="楷体_GB2312" w:hAnsi="楷体_GB2312" w:eastAsia="楷体_GB2312" w:cs="楷体_GB2312"/>
          <w:bCs/>
          <w:sz w:val="24"/>
          <w:szCs w:val="24"/>
          <w:u w:val="none"/>
          <w:lang w:eastAsia="zh-CN"/>
        </w:rPr>
        <w:t>合同金额的</w:t>
      </w:r>
      <w:r>
        <w:rPr>
          <w:rFonts w:hint="eastAsia" w:ascii="楷体_GB2312" w:hAnsi="楷体_GB2312" w:eastAsia="楷体_GB2312" w:cs="楷体_GB2312"/>
          <w:bCs/>
          <w:sz w:val="24"/>
          <w:szCs w:val="24"/>
          <w:u w:val="none"/>
        </w:rPr>
        <w:t>30%）</w:t>
      </w:r>
      <w:r>
        <w:rPr>
          <w:rFonts w:hint="eastAsia" w:ascii="仿宋_GB2312" w:hAnsi="仿宋_GB2312" w:eastAsia="仿宋_GB2312" w:cs="仿宋_GB2312"/>
          <w:bCs/>
          <w:sz w:val="28"/>
          <w:szCs w:val="28"/>
          <w:lang w:val="zh-CN"/>
        </w:rPr>
        <w:t>，服务完成</w:t>
      </w:r>
      <w:r>
        <w:rPr>
          <w:rFonts w:hint="eastAsia" w:cs="仿宋_GB2312"/>
          <w:bCs/>
          <w:sz w:val="28"/>
          <w:szCs w:val="28"/>
          <w:lang w:val="zh-CN"/>
        </w:rPr>
        <w:t>并验收合格</w:t>
      </w:r>
      <w:r>
        <w:rPr>
          <w:rFonts w:hint="eastAsia" w:ascii="仿宋_GB2312" w:hAnsi="仿宋_GB2312" w:eastAsia="仿宋_GB2312" w:cs="仿宋_GB2312"/>
          <w:bCs/>
          <w:sz w:val="28"/>
          <w:szCs w:val="28"/>
          <w:lang w:val="zh-CN"/>
        </w:rPr>
        <w:t>后，乙方向</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提交发票、验收报告等结算</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zh-CN"/>
        </w:rPr>
        <w:t>，</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在</w:t>
      </w:r>
      <w:r>
        <w:rPr>
          <w:rFonts w:hint="eastAsia" w:ascii="仿宋" w:hAnsi="仿宋" w:eastAsia="仿宋_GB2312"/>
          <w:bCs/>
          <w:sz w:val="28"/>
          <w:szCs w:val="28"/>
          <w:u w:val="single"/>
          <w:lang w:val="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lang w:val="zh-CN"/>
        </w:rPr>
        <w:t xml:space="preserve"> </w:t>
      </w:r>
      <w:r>
        <w:rPr>
          <w:rFonts w:hint="eastAsia" w:ascii="仿宋_GB2312" w:hAnsi="仿宋_GB2312" w:eastAsia="仿宋_GB2312" w:cs="仿宋_GB2312"/>
          <w:bCs/>
          <w:sz w:val="28"/>
          <w:szCs w:val="28"/>
          <w:lang w:val="zh-CN"/>
        </w:rPr>
        <w:t>日内</w:t>
      </w:r>
      <w:r>
        <w:rPr>
          <w:rFonts w:hint="eastAsia" w:ascii="仿宋" w:hAnsi="仿宋" w:eastAsia="仿宋_GB2312"/>
          <w:bCs/>
          <w:sz w:val="28"/>
          <w:szCs w:val="28"/>
          <w:lang w:val="zh-CN"/>
        </w:rPr>
        <w:t>向乙方支付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楷体_GB2312" w:hAnsi="楷体_GB2312" w:eastAsia="楷体_GB2312" w:cs="楷体_GB2312"/>
          <w:bCs/>
          <w:sz w:val="24"/>
          <w:szCs w:val="24"/>
          <w:u w:val="none"/>
          <w:lang w:val="zh-CN"/>
        </w:rPr>
      </w:pP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分阶段付款，第一阶段，乙方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；第二阶段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；第三阶段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r>
        <w:rPr>
          <w:rFonts w:hint="eastAsia" w:ascii="楷体_GB2312" w:hAnsi="楷体_GB2312" w:eastAsia="楷体_GB2312" w:cs="楷体_GB2312"/>
          <w:bCs/>
          <w:sz w:val="24"/>
          <w:szCs w:val="24"/>
          <w:u w:val="none"/>
          <w:lang w:val="zh-CN"/>
        </w:rPr>
        <w:t>（支付阶段、结算依据和比例根据军队财务规定和项目情况确定）</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eastAsia="仿宋_GB2312"/>
          <w:bCs/>
          <w:sz w:val="28"/>
          <w:szCs w:val="28"/>
          <w:lang w:val="zh-CN"/>
        </w:rPr>
        <w:t>其他方式</w:t>
      </w:r>
      <w:r>
        <w:rPr>
          <w:rFonts w:hint="eastAsia" w:ascii="仿宋" w:hAnsi="仿宋" w:eastAsia="仿宋_GB2312"/>
          <w:bCs/>
          <w:sz w:val="28"/>
          <w:szCs w:val="28"/>
        </w:rPr>
        <w:t>：</w:t>
      </w:r>
      <w:r>
        <w:rPr>
          <w:rFonts w:hint="eastAsia" w:ascii="仿宋" w:hAnsi="仿宋" w:eastAsia="仿宋_GB2312"/>
          <w:bCs/>
          <w:sz w:val="28"/>
          <w:szCs w:val="28"/>
          <w:u w:val="single"/>
          <w:lang w:val="zh-CN"/>
        </w:rPr>
        <w:t xml:space="preserve">                               </w:t>
      </w:r>
    </w:p>
    <w:p>
      <w:pPr>
        <w:adjustRightInd w:val="0"/>
        <w:spacing w:line="530" w:lineRule="exact"/>
        <w:ind w:firstLine="560" w:firstLineChars="200"/>
        <w:rPr>
          <w:rFonts w:ascii="仿宋" w:hAnsi="仿宋" w:eastAsia="仿宋_GB2312"/>
          <w:bCs/>
          <w:sz w:val="28"/>
          <w:szCs w:val="28"/>
        </w:rPr>
      </w:pPr>
      <w:bookmarkStart w:id="3" w:name="_Hlk129354415"/>
      <w:r>
        <w:rPr>
          <w:rFonts w:hint="eastAsia" w:ascii="仿宋" w:hAnsi="仿宋" w:eastAsia="仿宋_GB2312"/>
          <w:bCs/>
          <w:sz w:val="28"/>
          <w:szCs w:val="28"/>
        </w:rPr>
        <w:t>（二）乙方应当向甲方支付合同项下的违约金或赔偿金时，甲方有权从上述任何一笔应当付款中予以扣除。</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（三）在结算过程中，乙方出具虚假发票或其他虚假材料的，按照提供虚假材料情况处理。</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（四）未经军队采购平台合同管理信息系统编号或者未按照要求进行备案的物资工程服务采购合同书，不得办理支付手续。</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十二、违约责任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bookmarkStart w:id="4" w:name="_Hlk129348417"/>
      <w:r>
        <w:rPr>
          <w:rFonts w:hint="eastAsia" w:ascii="仿宋_GB2312" w:hAnsi="仿宋_GB2312" w:eastAsia="仿宋_GB2312" w:cs="仿宋_GB2312"/>
          <w:bCs/>
          <w:sz w:val="28"/>
          <w:szCs w:val="28"/>
        </w:rPr>
        <w:t>（一）乙方未经甲方同意而延期履行的，应当向甲方偿付违约金，违约金每天按合同金额的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计算，违约金最高限额为合同金额的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。如果达到违约金最高限额时仍不能履行，或</w:t>
      </w:r>
      <w:r>
        <w:rPr>
          <w:rFonts w:hint="eastAsia" w:cs="仿宋_GB2312"/>
          <w:bCs/>
          <w:sz w:val="28"/>
          <w:szCs w:val="28"/>
          <w:lang w:eastAsia="zh-CN"/>
        </w:rPr>
        <w:t>因延期履行</w:t>
      </w:r>
      <w:r>
        <w:rPr>
          <w:rFonts w:hint="eastAsia" w:ascii="仿宋_GB2312" w:hAnsi="仿宋_GB2312" w:eastAsia="仿宋_GB2312" w:cs="仿宋_GB2312"/>
          <w:bCs/>
          <w:sz w:val="28"/>
          <w:szCs w:val="28"/>
        </w:rPr>
        <w:t>影响甲方任务实施，甲方可以终止合同，而由此给甲方造成的实际损失，乙方应当给予足额赔偿。</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_GB2312" w:hAnsi="仿宋_GB2312" w:eastAsia="仿宋_GB2312" w:cs="仿宋_GB2312"/>
          <w:bCs/>
          <w:sz w:val="28"/>
          <w:szCs w:val="28"/>
        </w:rPr>
        <w:t>（二）</w:t>
      </w:r>
      <w:bookmarkEnd w:id="4"/>
      <w:bookmarkStart w:id="5" w:name="_Hlk129350035"/>
      <w:r>
        <w:rPr>
          <w:rFonts w:hint="eastAsia" w:ascii="仿宋_GB2312" w:hAnsi="仿宋_GB2312" w:eastAsia="仿宋_GB2312" w:cs="仿宋_GB2312"/>
          <w:bCs/>
          <w:sz w:val="28"/>
          <w:szCs w:val="28"/>
        </w:rPr>
        <w:t>乙方</w:t>
      </w:r>
      <w:bookmarkEnd w:id="5"/>
      <w:r>
        <w:rPr>
          <w:rFonts w:hint="eastAsia" w:ascii="仿宋_GB2312" w:hAnsi="仿宋_GB2312" w:eastAsia="仿宋_GB2312" w:cs="仿宋_GB2312"/>
          <w:bCs/>
          <w:sz w:val="28"/>
          <w:szCs w:val="28"/>
        </w:rPr>
        <w:t>不能满足</w:t>
      </w:r>
      <w:bookmarkStart w:id="6" w:name="_Hlk129355209"/>
      <w:r>
        <w:rPr>
          <w:rFonts w:hint="eastAsia" w:ascii="仿宋_GB2312" w:hAnsi="仿宋_GB2312" w:eastAsia="仿宋_GB2312" w:cs="仿宋_GB2312"/>
          <w:bCs/>
          <w:sz w:val="28"/>
          <w:szCs w:val="28"/>
        </w:rPr>
        <w:t>合同约定</w:t>
      </w:r>
      <w:bookmarkEnd w:id="6"/>
      <w:r>
        <w:rPr>
          <w:rFonts w:hint="eastAsia" w:ascii="仿宋_GB2312" w:hAnsi="仿宋_GB2312" w:eastAsia="仿宋_GB2312" w:cs="仿宋_GB2312"/>
          <w:bCs/>
          <w:sz w:val="28"/>
          <w:szCs w:val="28"/>
        </w:rPr>
        <w:t>的服务内容和标准等要求的，甲方可按</w:t>
      </w:r>
      <w:r>
        <w:rPr>
          <w:rFonts w:hint="eastAsia" w:ascii="仿宋" w:hAnsi="仿宋" w:eastAsia="仿宋_GB2312"/>
          <w:bCs/>
          <w:sz w:val="28"/>
          <w:szCs w:val="28"/>
        </w:rPr>
        <w:t>合同约定的分期考核标准扣减相应的服务酬金。因乙方违反合同约定给甲方造成损失的，乙方应当赔偿甲方损失。</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（三）甲方需按约定及时足额支付服务款，未按约定及时足额支付服</w:t>
      </w:r>
      <w:r>
        <w:rPr>
          <w:rFonts w:hint="eastAsia" w:ascii="仿宋_GB2312" w:hAnsi="仿宋_GB2312" w:eastAsia="仿宋_GB2312" w:cs="仿宋_GB2312"/>
          <w:bCs/>
          <w:sz w:val="28"/>
          <w:szCs w:val="28"/>
        </w:rPr>
        <w:t>务款时，甲方向乙方偿付违约金。每迟付一天按</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（通常为1‰-1%，可按照项目实际情况设定）</w:t>
      </w:r>
      <w:r>
        <w:rPr>
          <w:rFonts w:hint="eastAsia" w:ascii="仿宋_GB2312" w:hAnsi="仿宋_GB2312" w:eastAsia="仿宋_GB2312" w:cs="仿宋_GB2312"/>
          <w:bCs/>
          <w:sz w:val="28"/>
          <w:szCs w:val="28"/>
        </w:rPr>
        <w:t>向乙方偿付违约金，违约金最高限额为</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如因不可抗力事件导致一方无法履行合同，该方应立即书面通知对方，并在合理期限内提供权威机构出具的证明。受影响方应尽力减轻不可抗力事件所造成的影响。如法律对不可抗力有其他规定，或合同迟延履行后发生不可抗力事件，本条款不免除违约方的责任。</w:t>
      </w:r>
    </w:p>
    <w:bookmarkEnd w:id="3"/>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十三、争议解决方式</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合同履行过程中发生争议，先按照合同通用条款约定的争议解决方式处理，处理不成功的，甲方或者乙方可以按下列方式提起仲裁或诉讼</w:t>
      </w:r>
      <w:r>
        <w:rPr>
          <w:rFonts w:hint="eastAsia" w:ascii="楷体" w:hAnsi="楷体" w:eastAsia="楷体_GB2312" w:cs="楷体_GB2312"/>
          <w:bCs/>
          <w:sz w:val="24"/>
        </w:rPr>
        <w:t>（此条款为单选，不选或全选无效）</w:t>
      </w:r>
      <w:r>
        <w:rPr>
          <w:rFonts w:hint="eastAsia" w:ascii="仿宋" w:hAnsi="仿宋"/>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□向</w:t>
      </w:r>
      <w:r>
        <w:rPr>
          <w:rFonts w:hint="eastAsia" w:ascii="仿宋" w:hAnsi="仿宋" w:eastAsia="仿宋_GB2312"/>
          <w:sz w:val="28"/>
          <w:szCs w:val="28"/>
          <w:u w:val="single"/>
        </w:rPr>
        <w:t xml:space="preserve">             </w:t>
      </w:r>
      <w:r>
        <w:rPr>
          <w:rFonts w:hint="eastAsia" w:ascii="楷体" w:hAnsi="楷体" w:eastAsia="楷体_GB2312" w:cs="楷体_GB2312"/>
          <w:bCs/>
          <w:sz w:val="24"/>
        </w:rPr>
        <w:t>（甲方所在地仲裁机构名称）</w:t>
      </w:r>
      <w:r>
        <w:rPr>
          <w:rFonts w:hint="eastAsia" w:ascii="仿宋" w:hAnsi="仿宋" w:eastAsia="仿宋_GB2312"/>
          <w:bCs/>
          <w:sz w:val="28"/>
          <w:szCs w:val="28"/>
        </w:rPr>
        <w:t>提起仲裁。</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□向甲方所在地人民法院提起诉讼。</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十四、合同生效</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（一）经双方法定代表人或授权代表签字并经单位盖章后生效。未经甲方允许，乙方不得部分或全部转让其应当履行的合同义务。</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（二）本合同一式</w:t>
      </w:r>
      <w:r>
        <w:rPr>
          <w:rFonts w:hint="eastAsia" w:ascii="仿宋" w:hAnsi="仿宋" w:eastAsia="仿宋_GB2312"/>
          <w:bCs/>
          <w:sz w:val="28"/>
          <w:szCs w:val="28"/>
          <w:u w:val="single"/>
        </w:rPr>
        <w:t xml:space="preserve">    </w:t>
      </w:r>
      <w:r>
        <w:rPr>
          <w:rFonts w:hint="eastAsia" w:ascii="仿宋" w:hAnsi="仿宋" w:eastAsia="仿宋_GB2312"/>
          <w:bCs/>
          <w:sz w:val="28"/>
          <w:szCs w:val="28"/>
        </w:rPr>
        <w:t>份，由双方各执一份，甲方财务结算部门一份，</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十五、其他事项</w:t>
      </w:r>
    </w:p>
    <w:p>
      <w:pPr>
        <w:adjustRightInd w:val="0"/>
        <w:spacing w:line="530" w:lineRule="exact"/>
        <w:ind w:firstLine="560" w:firstLineChars="200"/>
        <w:rPr>
          <w:rFonts w:ascii="仿宋" w:hAnsi="仿宋"/>
          <w:bCs/>
          <w:sz w:val="28"/>
          <w:szCs w:val="28"/>
        </w:rPr>
      </w:pPr>
      <w:r>
        <w:rPr>
          <w:rFonts w:hint="eastAsia" w:ascii="仿宋" w:hAnsi="仿宋" w:eastAsia="仿宋_GB2312"/>
          <w:sz w:val="28"/>
          <w:szCs w:val="28"/>
        </w:rPr>
        <w:t>□</w:t>
      </w:r>
      <w:r>
        <w:rPr>
          <w:rFonts w:hint="eastAsia" w:ascii="仿宋" w:hAnsi="仿宋" w:eastAsia="仿宋_GB2312"/>
          <w:bCs/>
          <w:sz w:val="28"/>
          <w:szCs w:val="28"/>
        </w:rPr>
        <w:t>（一）基于本合同履行形成的知识产权和其他权益，归</w:t>
      </w:r>
      <w:r>
        <w:rPr>
          <w:rFonts w:hint="eastAsia" w:ascii="仿宋" w:hAnsi="仿宋" w:eastAsia="仿宋_GB2312"/>
          <w:bCs/>
          <w:sz w:val="28"/>
          <w:szCs w:val="28"/>
          <w:u w:val="single"/>
        </w:rPr>
        <w:t xml:space="preserve">      </w:t>
      </w:r>
      <w:r>
        <w:rPr>
          <w:rFonts w:hint="eastAsia" w:ascii="仿宋" w:hAnsi="仿宋" w:eastAsia="仿宋_GB2312"/>
          <w:bCs/>
          <w:sz w:val="28"/>
          <w:szCs w:val="28"/>
        </w:rPr>
        <w:t>所有</w:t>
      </w:r>
      <w:r>
        <w:rPr>
          <w:rFonts w:hint="eastAsia" w:ascii="楷体" w:hAnsi="楷体" w:eastAsia="楷体_GB2312" w:cs="楷体_GB2312"/>
          <w:bCs/>
          <w:sz w:val="24"/>
        </w:rPr>
        <w:t>（按实际情况确定，并在采购文件中予以明确）</w:t>
      </w:r>
      <w:r>
        <w:rPr>
          <w:rFonts w:hint="eastAsia" w:ascii="仿宋" w:hAnsi="仿宋" w:eastAsia="仿宋_GB2312"/>
          <w:bCs/>
          <w:sz w:val="28"/>
          <w:szCs w:val="28"/>
        </w:rPr>
        <w:t>，法律</w:t>
      </w:r>
      <w:r>
        <w:rPr>
          <w:rFonts w:hint="eastAsia" w:ascii="仿宋" w:hAnsi="仿宋"/>
          <w:bCs/>
          <w:sz w:val="28"/>
          <w:szCs w:val="28"/>
          <w:lang w:eastAsia="zh-CN"/>
        </w:rPr>
        <w:t>法规</w:t>
      </w:r>
      <w:r>
        <w:rPr>
          <w:rFonts w:hint="eastAsia" w:ascii="仿宋" w:hAnsi="仿宋" w:eastAsia="仿宋_GB2312"/>
          <w:bCs/>
          <w:sz w:val="28"/>
          <w:szCs w:val="28"/>
        </w:rPr>
        <w:t>另有规定的除外。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（二）其他：</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□十六、附件</w:t>
      </w:r>
    </w:p>
    <w:p>
      <w:pPr>
        <w:pStyle w:val="8"/>
        <w:adjustRightInd w:val="0"/>
        <w:snapToGrid w:val="0"/>
        <w:spacing w:line="560" w:lineRule="exact"/>
        <w:ind w:firstLine="560" w:firstLineChars="200"/>
        <w:rPr>
          <w:rFonts w:ascii="仿宋" w:hAnsi="仿宋" w:eastAsia="仿宋_GB2312" w:cs="仿宋_GB2312"/>
          <w:bCs/>
          <w:sz w:val="28"/>
          <w:szCs w:val="28"/>
        </w:rPr>
      </w:pPr>
      <w:r>
        <w:rPr>
          <w:rFonts w:hint="eastAsia" w:ascii="仿宋_GB2312" w:hAnsi="仿宋_GB2312" w:eastAsia="仿宋_GB2312" w:cs="仿宋_GB2312"/>
          <w:bCs/>
          <w:sz w:val="28"/>
          <w:szCs w:val="28"/>
        </w:rPr>
        <w:t>1.</w:t>
      </w:r>
      <w:r>
        <w:rPr>
          <w:rFonts w:hint="eastAsia" w:ascii="仿宋" w:hAnsi="仿宋" w:eastAsia="仿宋_GB2312" w:cs="仿宋_GB2312"/>
          <w:bCs/>
          <w:sz w:val="28"/>
          <w:szCs w:val="28"/>
        </w:rPr>
        <w:t>展览工程质量保修书</w:t>
      </w:r>
    </w:p>
    <w:p>
      <w:pPr>
        <w:pStyle w:val="8"/>
        <w:adjustRightInd w:val="0"/>
        <w:spacing w:line="530" w:lineRule="exact"/>
        <w:ind w:firstLine="560" w:firstLineChars="200"/>
        <w:jc w:val="left"/>
        <w:rPr>
          <w:rFonts w:ascii="仿宋" w:hAnsi="仿宋" w:eastAsia="仿宋_GB2312" w:cs="仿宋_GB2312"/>
          <w:bCs/>
          <w:sz w:val="28"/>
          <w:szCs w:val="28"/>
        </w:rPr>
      </w:pPr>
      <w:r>
        <w:rPr>
          <w:rFonts w:hint="eastAsia" w:ascii="仿宋" w:hAnsi="仿宋" w:eastAsia="仿宋_GB2312" w:cs="仿宋_GB2312"/>
          <w:bCs/>
          <w:sz w:val="28"/>
          <w:szCs w:val="28"/>
        </w:rPr>
        <w:t>……</w:t>
      </w:r>
    </w:p>
    <w:p>
      <w:pPr>
        <w:pStyle w:val="8"/>
        <w:adjustRightInd w:val="0"/>
        <w:spacing w:line="530" w:lineRule="exact"/>
        <w:ind w:firstLine="560" w:firstLineChars="200"/>
        <w:jc w:val="left"/>
        <w:rPr>
          <w:rFonts w:ascii="仿宋" w:hAnsi="仿宋"/>
          <w:bCs/>
          <w:sz w:val="28"/>
          <w:szCs w:val="28"/>
        </w:rPr>
      </w:pPr>
    </w:p>
    <w:p>
      <w:pPr>
        <w:pStyle w:val="8"/>
        <w:adjustRightInd w:val="0"/>
        <w:spacing w:line="530" w:lineRule="exact"/>
        <w:ind w:firstLine="560" w:firstLineChars="200"/>
        <w:jc w:val="left"/>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，均为签订合同的依据。合同签订按照《军队物资工程服务采购合同管理暂行规定》执行，内容不得与采购文件、乙方投标（报价）文件、补充文件、澄清承诺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的实质性内容相背离。</w:t>
      </w:r>
      <w:bookmarkStart w:id="7" w:name="_GoBack"/>
      <w:bookmarkEnd w:id="7"/>
    </w:p>
    <w:p>
      <w:pPr>
        <w:pStyle w:val="2"/>
      </w:pPr>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甲      方：（公章）</w:t>
            </w:r>
          </w:p>
        </w:tc>
        <w:tc>
          <w:tcPr>
            <w:tcW w:w="441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adjustRightInd w:val="0"/>
              <w:spacing w:after="0" w:line="638" w:lineRule="exact"/>
              <w:rPr>
                <w:rFonts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c>
          <w:tcPr>
            <w:tcW w:w="4410" w:type="dxa"/>
            <w:vAlign w:val="center"/>
          </w:tcPr>
          <w:p>
            <w:pPr>
              <w:pStyle w:val="2"/>
              <w:adjustRightInd w:val="0"/>
              <w:spacing w:after="0" w:line="550" w:lineRule="exact"/>
              <w:rPr>
                <w:rFonts w:ascii="仿宋" w:hAnsi="仿宋" w:eastAsia="仿宋_GB2312"/>
                <w:sz w:val="28"/>
                <w:szCs w:val="22"/>
              </w:rPr>
            </w:pPr>
            <w:r>
              <w:rPr>
                <w:rFonts w:hint="eastAsia" w:ascii="仿宋" w:hAnsi="仿宋" w:eastAsia="仿宋_GB2312"/>
                <w:sz w:val="28"/>
                <w:szCs w:val="22"/>
              </w:rPr>
              <w:t>统一社会信用代码：</w:t>
            </w:r>
            <w:r>
              <w:rPr>
                <w:rFonts w:hint="eastAsia" w:ascii="仿宋" w:hAnsi="仿宋" w:eastAsia="仿宋_GB2312"/>
                <w:sz w:val="28"/>
                <w:szCs w:val="22"/>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r>
    </w:tbl>
    <w:p>
      <w:pPr>
        <w:pStyle w:val="2"/>
      </w:pPr>
    </w:p>
    <w:p>
      <w:pPr>
        <w:pStyle w:val="2"/>
      </w:pPr>
      <w:r>
        <w:br w:type="page"/>
      </w:r>
    </w:p>
    <w:p>
      <w:pPr>
        <w:pStyle w:val="2"/>
        <w:spacing w:after="0" w:line="530" w:lineRule="exact"/>
        <w:rPr>
          <w:rFonts w:ascii="黑体" w:hAnsi="黑体" w:eastAsia="黑体"/>
          <w:sz w:val="28"/>
          <w:szCs w:val="28"/>
        </w:rPr>
      </w:pPr>
      <w:r>
        <w:rPr>
          <w:rFonts w:hint="eastAsia" w:ascii="黑体" w:hAnsi="黑体" w:eastAsia="黑体"/>
          <w:sz w:val="28"/>
          <w:szCs w:val="28"/>
        </w:rPr>
        <w:t>附件</w:t>
      </w:r>
      <w:r>
        <w:rPr>
          <w:rFonts w:ascii="黑体" w:hAnsi="黑体" w:eastAsia="黑体"/>
          <w:sz w:val="28"/>
          <w:szCs w:val="28"/>
        </w:rPr>
        <w:t>1</w:t>
      </w:r>
    </w:p>
    <w:p>
      <w:pPr>
        <w:pStyle w:val="2"/>
        <w:spacing w:after="0" w:line="530" w:lineRule="exact"/>
        <w:jc w:val="center"/>
        <w:rPr>
          <w:rFonts w:ascii="方正小标宋简体" w:hAnsi="仿宋" w:eastAsia="方正小标宋简体"/>
          <w:sz w:val="44"/>
          <w:szCs w:val="44"/>
        </w:rPr>
      </w:pPr>
      <w:r>
        <w:rPr>
          <w:rFonts w:hint="eastAsia" w:ascii="方正小标宋简体" w:hAnsi="仿宋" w:eastAsia="方正小标宋简体"/>
          <w:sz w:val="44"/>
          <w:szCs w:val="44"/>
        </w:rPr>
        <w:t>展览工程质量保修书</w:t>
      </w:r>
    </w:p>
    <w:p>
      <w:pPr>
        <w:pStyle w:val="2"/>
        <w:spacing w:after="0" w:line="530" w:lineRule="exact"/>
        <w:ind w:firstLine="560" w:firstLineChars="200"/>
        <w:rPr>
          <w:rFonts w:hint="eastAsia" w:ascii="仿宋" w:hAnsi="仿宋" w:eastAsia="仿宋_GB2312"/>
          <w:sz w:val="28"/>
          <w:szCs w:val="28"/>
        </w:rPr>
      </w:pPr>
    </w:p>
    <w:p>
      <w:pPr>
        <w:pStyle w:val="2"/>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甲方（全称）</w:t>
      </w:r>
      <w:r>
        <w:rPr>
          <w:rFonts w:ascii="仿宋" w:hAnsi="仿宋" w:eastAsia="仿宋_GB2312"/>
          <w:sz w:val="28"/>
          <w:szCs w:val="28"/>
        </w:rPr>
        <w:t xml:space="preserve"> ：</w:t>
      </w:r>
      <w:r>
        <w:rPr>
          <w:rFonts w:ascii="仿宋" w:hAnsi="仿宋" w:eastAsia="仿宋_GB2312"/>
          <w:sz w:val="28"/>
          <w:szCs w:val="28"/>
          <w:u w:val="single"/>
        </w:rPr>
        <w:t xml:space="preserve">                  </w:t>
      </w:r>
    </w:p>
    <w:p>
      <w:pPr>
        <w:pStyle w:val="2"/>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乙方（全称）</w:t>
      </w:r>
      <w:r>
        <w:rPr>
          <w:rFonts w:ascii="仿宋" w:hAnsi="仿宋" w:eastAsia="仿宋_GB2312"/>
          <w:sz w:val="28"/>
          <w:szCs w:val="28"/>
        </w:rPr>
        <w:t xml:space="preserve"> ：</w:t>
      </w:r>
      <w:r>
        <w:rPr>
          <w:rFonts w:ascii="仿宋" w:hAnsi="仿宋" w:eastAsia="仿宋_GB2312"/>
          <w:sz w:val="28"/>
          <w:szCs w:val="28"/>
          <w:u w:val="single"/>
        </w:rPr>
        <w:t xml:space="preserve">                  </w:t>
      </w:r>
    </w:p>
    <w:p>
      <w:pPr>
        <w:pStyle w:val="2"/>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甲方、乙方根据《中华人民共和国建筑法》、《建设工程质量管理条例》和《房屋建筑工程质量保修办法》，经协商一致，签订本项目保修书。</w:t>
      </w:r>
    </w:p>
    <w:p>
      <w:pPr>
        <w:pStyle w:val="2"/>
        <w:spacing w:after="0" w:line="530" w:lineRule="exact"/>
        <w:ind w:firstLine="560" w:firstLineChars="200"/>
        <w:rPr>
          <w:rFonts w:hint="eastAsia" w:ascii="黑体" w:hAnsi="黑体" w:eastAsia="黑体" w:cs="黑体"/>
          <w:sz w:val="28"/>
          <w:szCs w:val="28"/>
        </w:rPr>
      </w:pPr>
      <w:r>
        <w:rPr>
          <w:rFonts w:hint="eastAsia" w:ascii="黑体" w:hAnsi="黑体" w:eastAsia="黑体" w:cs="黑体"/>
          <w:sz w:val="28"/>
          <w:szCs w:val="28"/>
        </w:rPr>
        <w:t>一、工程保修范围和内容</w:t>
      </w:r>
    </w:p>
    <w:p>
      <w:pPr>
        <w:pStyle w:val="2"/>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乙方在保修期内，按照有关法律、法规、规章的管理规定和双方约定，承担本工程保修责任。</w:t>
      </w:r>
    </w:p>
    <w:p>
      <w:pPr>
        <w:pStyle w:val="2"/>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保修责任范围包括展览基础工程、展具（含展柜、龛柜、展台、展品说明牌、展架、展托、卡具、容器等）、辅助展项（包括展板、场景、模型、沙盘、绘画、雕塑、多媒体展项、互动展项等）、展览电气系统、智能化系统、安防系统等，以及双方约定的其他项目。具体保修的内容，双方约定如下：乙方施工的全部工程范围</w:t>
      </w:r>
      <w:r>
        <w:rPr>
          <w:rFonts w:ascii="仿宋" w:hAnsi="仿宋" w:eastAsia="仿宋_GB2312"/>
          <w:sz w:val="28"/>
          <w:szCs w:val="28"/>
        </w:rPr>
        <w:t xml:space="preserve"> 。</w:t>
      </w:r>
    </w:p>
    <w:p>
      <w:pPr>
        <w:pStyle w:val="2"/>
        <w:spacing w:after="0" w:line="530" w:lineRule="exact"/>
        <w:ind w:firstLine="560" w:firstLineChars="200"/>
        <w:rPr>
          <w:rFonts w:hint="eastAsia" w:ascii="黑体" w:hAnsi="黑体" w:eastAsia="黑体" w:cs="黑体"/>
          <w:sz w:val="28"/>
          <w:szCs w:val="28"/>
        </w:rPr>
      </w:pPr>
      <w:r>
        <w:rPr>
          <w:rFonts w:hint="eastAsia" w:ascii="黑体" w:hAnsi="黑体" w:eastAsia="黑体" w:cs="黑体"/>
          <w:sz w:val="28"/>
          <w:szCs w:val="28"/>
        </w:rPr>
        <w:t>二、保修期</w:t>
      </w:r>
    </w:p>
    <w:p>
      <w:pPr>
        <w:pStyle w:val="2"/>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双方根据《建设工程质量管理条例》及有关规定，约定本工程的保修期如下：</w:t>
      </w:r>
    </w:p>
    <w:p>
      <w:pPr>
        <w:pStyle w:val="2"/>
        <w:spacing w:after="0" w:line="530" w:lineRule="exact"/>
        <w:ind w:firstLine="560" w:firstLineChars="200"/>
        <w:rPr>
          <w:rFonts w:ascii="仿宋" w:hAnsi="仿宋" w:eastAsia="仿宋_GB2312"/>
          <w:sz w:val="28"/>
          <w:szCs w:val="28"/>
        </w:rPr>
      </w:pPr>
      <w:r>
        <w:rPr>
          <w:rFonts w:ascii="仿宋" w:hAnsi="仿宋" w:eastAsia="仿宋_GB2312"/>
          <w:sz w:val="28"/>
          <w:szCs w:val="28"/>
        </w:rPr>
        <w:t>1.展览工程为</w:t>
      </w:r>
      <w:r>
        <w:rPr>
          <w:rFonts w:ascii="仿宋" w:hAnsi="仿宋" w:eastAsia="仿宋_GB2312"/>
          <w:sz w:val="28"/>
          <w:szCs w:val="28"/>
          <w:u w:val="single"/>
        </w:rPr>
        <w:t xml:space="preserve"> </w:t>
      </w:r>
      <w:r>
        <w:rPr>
          <w:rFonts w:hint="eastAsia" w:ascii="仿宋" w:hAnsi="仿宋"/>
          <w:sz w:val="28"/>
          <w:szCs w:val="28"/>
          <w:u w:val="single"/>
          <w:lang w:val="en-US" w:eastAsia="zh-CN"/>
        </w:rPr>
        <w:t xml:space="preserve">  </w:t>
      </w:r>
      <w:r>
        <w:rPr>
          <w:rFonts w:ascii="仿宋" w:hAnsi="仿宋" w:eastAsia="仿宋_GB2312"/>
          <w:sz w:val="28"/>
          <w:szCs w:val="28"/>
          <w:u w:val="single"/>
        </w:rPr>
        <w:t xml:space="preserve"> </w:t>
      </w:r>
      <w:r>
        <w:rPr>
          <w:rFonts w:ascii="仿宋" w:hAnsi="仿宋" w:eastAsia="仿宋_GB2312"/>
          <w:sz w:val="28"/>
          <w:szCs w:val="28"/>
        </w:rPr>
        <w:t>年；</w:t>
      </w:r>
    </w:p>
    <w:p>
      <w:pPr>
        <w:pStyle w:val="2"/>
        <w:spacing w:after="0" w:line="530" w:lineRule="exact"/>
        <w:ind w:firstLine="560" w:firstLineChars="200"/>
        <w:rPr>
          <w:rFonts w:ascii="仿宋" w:hAnsi="仿宋" w:eastAsia="仿宋_GB2312"/>
          <w:sz w:val="28"/>
          <w:szCs w:val="28"/>
        </w:rPr>
      </w:pPr>
      <w:r>
        <w:rPr>
          <w:rFonts w:ascii="仿宋" w:hAnsi="仿宋" w:eastAsia="仿宋_GB2312"/>
          <w:sz w:val="28"/>
          <w:szCs w:val="28"/>
        </w:rPr>
        <w:t>2.其他项目保修期限约定如下：设备、灯具等以厂家保修期为准（不低于一年）。</w:t>
      </w:r>
    </w:p>
    <w:p>
      <w:pPr>
        <w:pStyle w:val="2"/>
        <w:spacing w:after="0" w:line="530" w:lineRule="exact"/>
        <w:ind w:firstLine="560" w:firstLineChars="200"/>
        <w:rPr>
          <w:rFonts w:ascii="仿宋" w:hAnsi="仿宋" w:eastAsia="仿宋_GB2312"/>
          <w:sz w:val="28"/>
          <w:szCs w:val="28"/>
        </w:rPr>
      </w:pPr>
      <w:r>
        <w:rPr>
          <w:rFonts w:ascii="仿宋" w:hAnsi="仿宋" w:eastAsia="仿宋_GB2312"/>
          <w:sz w:val="28"/>
          <w:szCs w:val="28"/>
        </w:rPr>
        <w:t>3.本项目信息化系统、安防系统为</w:t>
      </w:r>
      <w:r>
        <w:rPr>
          <w:rFonts w:ascii="仿宋" w:hAnsi="仿宋" w:eastAsia="仿宋_GB2312"/>
          <w:sz w:val="28"/>
          <w:szCs w:val="28"/>
          <w:u w:val="single"/>
        </w:rPr>
        <w:t xml:space="preserve"> </w:t>
      </w:r>
      <w:r>
        <w:rPr>
          <w:rFonts w:hint="eastAsia" w:ascii="仿宋" w:hAnsi="仿宋"/>
          <w:sz w:val="28"/>
          <w:szCs w:val="28"/>
          <w:u w:val="single"/>
          <w:lang w:val="en-US" w:eastAsia="zh-CN"/>
        </w:rPr>
        <w:t xml:space="preserve">  </w:t>
      </w:r>
      <w:r>
        <w:rPr>
          <w:rFonts w:ascii="仿宋" w:hAnsi="仿宋" w:eastAsia="仿宋_GB2312"/>
          <w:sz w:val="28"/>
          <w:szCs w:val="28"/>
          <w:u w:val="single"/>
        </w:rPr>
        <w:t xml:space="preserve"> </w:t>
      </w:r>
      <w:r>
        <w:rPr>
          <w:rFonts w:ascii="仿宋" w:hAnsi="仿宋" w:eastAsia="仿宋_GB2312"/>
          <w:sz w:val="28"/>
          <w:szCs w:val="28"/>
        </w:rPr>
        <w:t>年。</w:t>
      </w:r>
    </w:p>
    <w:p>
      <w:pPr>
        <w:pStyle w:val="2"/>
        <w:spacing w:after="0" w:line="530" w:lineRule="exact"/>
        <w:ind w:firstLine="560" w:firstLineChars="200"/>
        <w:rPr>
          <w:rFonts w:hint="eastAsia" w:ascii="黑体" w:hAnsi="黑体" w:eastAsia="黑体" w:cs="黑体"/>
          <w:sz w:val="28"/>
          <w:szCs w:val="28"/>
        </w:rPr>
      </w:pPr>
      <w:r>
        <w:rPr>
          <w:rFonts w:hint="eastAsia" w:ascii="黑体" w:hAnsi="黑体" w:eastAsia="黑体" w:cs="黑体"/>
          <w:sz w:val="28"/>
          <w:szCs w:val="28"/>
        </w:rPr>
        <w:t>三、缺陷责任期</w:t>
      </w:r>
    </w:p>
    <w:p>
      <w:pPr>
        <w:pStyle w:val="2"/>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工程缺陷责任期为</w:t>
      </w:r>
      <w:r>
        <w:rPr>
          <w:rFonts w:ascii="仿宋" w:hAnsi="仿宋" w:eastAsia="仿宋_GB2312"/>
          <w:sz w:val="28"/>
          <w:szCs w:val="28"/>
          <w:u w:val="single"/>
        </w:rPr>
        <w:t xml:space="preserve">  </w:t>
      </w:r>
      <w:r>
        <w:rPr>
          <w:rFonts w:ascii="仿宋" w:hAnsi="仿宋" w:eastAsia="仿宋_GB2312"/>
          <w:sz w:val="28"/>
          <w:szCs w:val="28"/>
        </w:rPr>
        <w:t>个月，缺陷责任期自工程交付使用之日算起。</w:t>
      </w:r>
    </w:p>
    <w:p>
      <w:pPr>
        <w:pStyle w:val="2"/>
        <w:spacing w:after="0" w:line="530" w:lineRule="exact"/>
        <w:ind w:firstLine="560" w:firstLineChars="200"/>
        <w:rPr>
          <w:rFonts w:hint="eastAsia" w:ascii="黑体" w:hAnsi="黑体" w:eastAsia="黑体" w:cs="黑体"/>
          <w:sz w:val="28"/>
          <w:szCs w:val="28"/>
        </w:rPr>
      </w:pPr>
      <w:r>
        <w:rPr>
          <w:rFonts w:hint="eastAsia" w:ascii="黑体" w:hAnsi="黑体" w:eastAsia="黑体" w:cs="黑体"/>
          <w:sz w:val="28"/>
          <w:szCs w:val="28"/>
        </w:rPr>
        <w:t>四、保修责任</w:t>
      </w:r>
    </w:p>
    <w:p>
      <w:pPr>
        <w:pStyle w:val="2"/>
        <w:spacing w:after="0" w:line="530" w:lineRule="exact"/>
        <w:ind w:firstLine="560" w:firstLineChars="200"/>
        <w:rPr>
          <w:rFonts w:ascii="仿宋" w:hAnsi="仿宋" w:eastAsia="仿宋_GB2312"/>
          <w:sz w:val="28"/>
          <w:szCs w:val="28"/>
        </w:rPr>
      </w:pPr>
      <w:r>
        <w:rPr>
          <w:rFonts w:ascii="仿宋" w:hAnsi="仿宋" w:eastAsia="仿宋_GB2312"/>
          <w:sz w:val="28"/>
          <w:szCs w:val="28"/>
        </w:rPr>
        <w:t>1.属于责任范围、内容的项目，乙方应当在接到保修通知之日起7个日历天内派人保修。乙方不在约定期限内派人保修的，发包人可以委托他人修理。</w:t>
      </w:r>
    </w:p>
    <w:p>
      <w:pPr>
        <w:pStyle w:val="2"/>
        <w:spacing w:after="0" w:line="530" w:lineRule="exact"/>
        <w:ind w:firstLine="560" w:firstLineChars="200"/>
        <w:rPr>
          <w:rFonts w:ascii="仿宋" w:hAnsi="仿宋" w:eastAsia="仿宋_GB2312"/>
          <w:sz w:val="28"/>
          <w:szCs w:val="28"/>
        </w:rPr>
      </w:pPr>
      <w:r>
        <w:rPr>
          <w:rFonts w:ascii="仿宋" w:hAnsi="仿宋" w:eastAsia="仿宋_GB2312"/>
          <w:sz w:val="28"/>
          <w:szCs w:val="28"/>
        </w:rPr>
        <w:t>2.发生紧急抢修事故的，乙方在接到事故通知后，应当立即到达事故现场抢修。</w:t>
      </w:r>
    </w:p>
    <w:p>
      <w:pPr>
        <w:pStyle w:val="2"/>
        <w:spacing w:after="0" w:line="530" w:lineRule="exact"/>
        <w:ind w:firstLine="560" w:firstLineChars="200"/>
        <w:rPr>
          <w:rFonts w:ascii="仿宋" w:hAnsi="仿宋" w:eastAsia="仿宋_GB2312"/>
          <w:sz w:val="28"/>
          <w:szCs w:val="28"/>
        </w:rPr>
      </w:pPr>
      <w:r>
        <w:rPr>
          <w:rFonts w:ascii="仿宋" w:hAnsi="仿宋" w:eastAsia="仿宋_GB2312"/>
          <w:sz w:val="28"/>
          <w:szCs w:val="28"/>
        </w:rPr>
        <w:t>3.对于涉及结构安全的质量问题，应当按照《房屋建筑工程质量保修办法》的规定，立即向当地建设行政主管部门报告，采取安全防范措施；由原设计人或者具有相应资质等级的设计人提出保修方案，承包人实施保修。</w:t>
      </w:r>
    </w:p>
    <w:p>
      <w:pPr>
        <w:pStyle w:val="2"/>
        <w:spacing w:after="0" w:line="530" w:lineRule="exact"/>
        <w:ind w:firstLine="560" w:firstLineChars="200"/>
        <w:rPr>
          <w:rFonts w:ascii="仿宋" w:hAnsi="仿宋" w:eastAsia="仿宋_GB2312"/>
          <w:sz w:val="28"/>
          <w:szCs w:val="28"/>
        </w:rPr>
      </w:pPr>
      <w:r>
        <w:rPr>
          <w:rFonts w:ascii="仿宋" w:hAnsi="仿宋" w:eastAsia="仿宋_GB2312"/>
          <w:sz w:val="28"/>
          <w:szCs w:val="28"/>
        </w:rPr>
        <w:t>4.质量保修完成后，由发包人组织验收。</w:t>
      </w:r>
    </w:p>
    <w:p>
      <w:pPr>
        <w:pStyle w:val="2"/>
        <w:spacing w:after="0" w:line="530" w:lineRule="exact"/>
        <w:ind w:firstLine="560" w:firstLineChars="200"/>
        <w:rPr>
          <w:rFonts w:hint="eastAsia" w:ascii="黑体" w:hAnsi="黑体" w:eastAsia="黑体" w:cs="黑体"/>
          <w:sz w:val="28"/>
          <w:szCs w:val="28"/>
        </w:rPr>
      </w:pPr>
      <w:r>
        <w:rPr>
          <w:rFonts w:hint="eastAsia" w:ascii="黑体" w:hAnsi="黑体" w:eastAsia="黑体" w:cs="黑体"/>
          <w:sz w:val="28"/>
          <w:szCs w:val="28"/>
        </w:rPr>
        <w:t>五、保修费用</w:t>
      </w:r>
    </w:p>
    <w:p>
      <w:pPr>
        <w:pStyle w:val="2"/>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保修费用由造成质量缺陷的责任方承担。</w:t>
      </w:r>
    </w:p>
    <w:p>
      <w:pPr>
        <w:pStyle w:val="2"/>
        <w:spacing w:after="0" w:line="530" w:lineRule="exact"/>
        <w:ind w:firstLine="560" w:firstLineChars="200"/>
        <w:rPr>
          <w:rFonts w:hint="eastAsia" w:ascii="黑体" w:hAnsi="黑体" w:eastAsia="黑体" w:cs="黑体"/>
          <w:sz w:val="28"/>
          <w:szCs w:val="28"/>
        </w:rPr>
      </w:pPr>
      <w:r>
        <w:rPr>
          <w:rFonts w:hint="eastAsia" w:ascii="黑体" w:hAnsi="黑体" w:eastAsia="黑体" w:cs="黑体"/>
          <w:sz w:val="28"/>
          <w:szCs w:val="28"/>
        </w:rPr>
        <w:t>六、其他</w:t>
      </w:r>
    </w:p>
    <w:p>
      <w:pPr>
        <w:pStyle w:val="2"/>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双方约定的其他工程保修责任事项：</w:t>
      </w:r>
      <w:r>
        <w:rPr>
          <w:rFonts w:ascii="仿宋" w:hAnsi="仿宋" w:eastAsia="仿宋_GB2312"/>
          <w:sz w:val="28"/>
          <w:szCs w:val="28"/>
          <w:u w:val="single"/>
        </w:rPr>
        <w:t xml:space="preserve">   </w:t>
      </w:r>
      <w:r>
        <w:rPr>
          <w:rFonts w:hint="eastAsia" w:ascii="仿宋" w:hAnsi="仿宋"/>
          <w:sz w:val="28"/>
          <w:szCs w:val="28"/>
          <w:u w:val="single"/>
          <w:lang w:val="en-US" w:eastAsia="zh-CN"/>
        </w:rPr>
        <w:t xml:space="preserve">          </w:t>
      </w:r>
      <w:r>
        <w:rPr>
          <w:rFonts w:ascii="仿宋" w:hAnsi="仿宋" w:eastAsia="仿宋_GB2312"/>
          <w:sz w:val="28"/>
          <w:szCs w:val="28"/>
          <w:u w:val="single"/>
        </w:rPr>
        <w:t xml:space="preserve"> </w:t>
      </w:r>
      <w:r>
        <w:rPr>
          <w:rFonts w:ascii="仿宋" w:hAnsi="仿宋" w:eastAsia="仿宋_GB2312"/>
          <w:sz w:val="28"/>
          <w:szCs w:val="28"/>
        </w:rPr>
        <w:t>。</w:t>
      </w:r>
    </w:p>
    <w:p>
      <w:pPr>
        <w:pStyle w:val="2"/>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本工程保修书，由合同甲、乙双方在竣工验收前共同签署，作为施工合同附件，其有效期限至保修期满。</w:t>
      </w:r>
    </w:p>
    <w:sectPr>
      <w:pgSz w:w="11906" w:h="16838"/>
      <w:pgMar w:top="2098" w:right="1474" w:bottom="1984" w:left="1587" w:header="851" w:footer="1247" w:gutter="0"/>
      <w:cols w:space="0" w:num="1"/>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17</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W&#10;AAAAZHJzL1BLAQIUABQAAAAIAIdO4kAgniRv0wAAAAYBAAAPAAAAAAAAAAEAIAAAADgAAABkcnMv&#10;ZG93bnJldi54bWxQSwECFAAUAAAACACHTuJABWGMPysCAABVBAAADgAAAAAAAAABACAAAAA4AQAA&#10;ZHJzL2Uyb0RvYy54bWxQSwUGAAAAAAYABgBZAQAA1QU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17</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sdt>
      <w:sdtPr>
        <w:id w:val="-1"/>
      </w:sdtP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18</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Am1VpzKgIAAFUEAAAOAAAAAAAAAAEAIAAAADUBAABkcnMv&#10;ZTJvRG9jLnhtbFBLBQYAAAAABgAGAFkBAADRBQ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18</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C1F82"/>
    <w:rsid w:val="000C5371"/>
    <w:rsid w:val="000C7B09"/>
    <w:rsid w:val="000D5B1A"/>
    <w:rsid w:val="000E3F45"/>
    <w:rsid w:val="000F10C7"/>
    <w:rsid w:val="001063B2"/>
    <w:rsid w:val="00106F13"/>
    <w:rsid w:val="001109AE"/>
    <w:rsid w:val="00114A46"/>
    <w:rsid w:val="001167C6"/>
    <w:rsid w:val="0013471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0A3"/>
    <w:rsid w:val="0018347A"/>
    <w:rsid w:val="0019181C"/>
    <w:rsid w:val="00191A78"/>
    <w:rsid w:val="001929A3"/>
    <w:rsid w:val="00196939"/>
    <w:rsid w:val="001A1EFD"/>
    <w:rsid w:val="001A1F44"/>
    <w:rsid w:val="001A1F98"/>
    <w:rsid w:val="001A5EE9"/>
    <w:rsid w:val="001B266E"/>
    <w:rsid w:val="001B3599"/>
    <w:rsid w:val="001B429D"/>
    <w:rsid w:val="001C10E2"/>
    <w:rsid w:val="001D236F"/>
    <w:rsid w:val="001D6619"/>
    <w:rsid w:val="001E03FD"/>
    <w:rsid w:val="001E22E0"/>
    <w:rsid w:val="001E26E5"/>
    <w:rsid w:val="001F0CA1"/>
    <w:rsid w:val="001F2F1E"/>
    <w:rsid w:val="00206504"/>
    <w:rsid w:val="00210100"/>
    <w:rsid w:val="00210A72"/>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1017"/>
    <w:rsid w:val="00281AD4"/>
    <w:rsid w:val="002A56E4"/>
    <w:rsid w:val="002A70B0"/>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22F21"/>
    <w:rsid w:val="00324B0E"/>
    <w:rsid w:val="00335027"/>
    <w:rsid w:val="00337074"/>
    <w:rsid w:val="00340437"/>
    <w:rsid w:val="003518C3"/>
    <w:rsid w:val="00356577"/>
    <w:rsid w:val="00372CA8"/>
    <w:rsid w:val="00373982"/>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098"/>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31"/>
    <w:rsid w:val="00522DE1"/>
    <w:rsid w:val="00523C88"/>
    <w:rsid w:val="00526FC6"/>
    <w:rsid w:val="005340BB"/>
    <w:rsid w:val="00537355"/>
    <w:rsid w:val="00543992"/>
    <w:rsid w:val="00556D2B"/>
    <w:rsid w:val="00567057"/>
    <w:rsid w:val="00571680"/>
    <w:rsid w:val="00571850"/>
    <w:rsid w:val="00576E05"/>
    <w:rsid w:val="0057704C"/>
    <w:rsid w:val="005853FD"/>
    <w:rsid w:val="0059270E"/>
    <w:rsid w:val="005A33C5"/>
    <w:rsid w:val="005A37DB"/>
    <w:rsid w:val="005B6937"/>
    <w:rsid w:val="005B7763"/>
    <w:rsid w:val="005C093D"/>
    <w:rsid w:val="005C0CDF"/>
    <w:rsid w:val="005C17DB"/>
    <w:rsid w:val="005C3150"/>
    <w:rsid w:val="005C6EE5"/>
    <w:rsid w:val="005D04BC"/>
    <w:rsid w:val="005D44C2"/>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1EDC"/>
    <w:rsid w:val="00652980"/>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E57E4"/>
    <w:rsid w:val="006F271C"/>
    <w:rsid w:val="006F59C7"/>
    <w:rsid w:val="006F736C"/>
    <w:rsid w:val="00701AF6"/>
    <w:rsid w:val="00716062"/>
    <w:rsid w:val="007161D8"/>
    <w:rsid w:val="00721E58"/>
    <w:rsid w:val="007227B1"/>
    <w:rsid w:val="007263E1"/>
    <w:rsid w:val="007448A7"/>
    <w:rsid w:val="00745E18"/>
    <w:rsid w:val="00747F6D"/>
    <w:rsid w:val="007516F8"/>
    <w:rsid w:val="00767053"/>
    <w:rsid w:val="00777C35"/>
    <w:rsid w:val="007817CE"/>
    <w:rsid w:val="0079553E"/>
    <w:rsid w:val="007A0319"/>
    <w:rsid w:val="007A1132"/>
    <w:rsid w:val="007C46A3"/>
    <w:rsid w:val="007C6371"/>
    <w:rsid w:val="007C637B"/>
    <w:rsid w:val="007C6E9F"/>
    <w:rsid w:val="007D4353"/>
    <w:rsid w:val="007E12D9"/>
    <w:rsid w:val="007E2910"/>
    <w:rsid w:val="007E3439"/>
    <w:rsid w:val="007E39FF"/>
    <w:rsid w:val="007E3D89"/>
    <w:rsid w:val="007E5972"/>
    <w:rsid w:val="007E5BE2"/>
    <w:rsid w:val="007F1BEF"/>
    <w:rsid w:val="007F4559"/>
    <w:rsid w:val="007F4DE3"/>
    <w:rsid w:val="007F6CA7"/>
    <w:rsid w:val="007F79D6"/>
    <w:rsid w:val="008131F3"/>
    <w:rsid w:val="00814AB4"/>
    <w:rsid w:val="0081621A"/>
    <w:rsid w:val="00824EA3"/>
    <w:rsid w:val="00824F51"/>
    <w:rsid w:val="00825228"/>
    <w:rsid w:val="00826154"/>
    <w:rsid w:val="008353D6"/>
    <w:rsid w:val="00840CFB"/>
    <w:rsid w:val="00845E44"/>
    <w:rsid w:val="0086367F"/>
    <w:rsid w:val="0087359E"/>
    <w:rsid w:val="00873723"/>
    <w:rsid w:val="00874AB4"/>
    <w:rsid w:val="0087728C"/>
    <w:rsid w:val="00896F68"/>
    <w:rsid w:val="008973AE"/>
    <w:rsid w:val="008A7EB9"/>
    <w:rsid w:val="008B16D1"/>
    <w:rsid w:val="008B2ABC"/>
    <w:rsid w:val="008C3747"/>
    <w:rsid w:val="008D2597"/>
    <w:rsid w:val="008D3D6D"/>
    <w:rsid w:val="008D42DA"/>
    <w:rsid w:val="008D5072"/>
    <w:rsid w:val="008D62A5"/>
    <w:rsid w:val="008E1148"/>
    <w:rsid w:val="008E2554"/>
    <w:rsid w:val="008F30AC"/>
    <w:rsid w:val="00907106"/>
    <w:rsid w:val="009117BE"/>
    <w:rsid w:val="009245B0"/>
    <w:rsid w:val="00934805"/>
    <w:rsid w:val="009414E0"/>
    <w:rsid w:val="0095113D"/>
    <w:rsid w:val="00963927"/>
    <w:rsid w:val="009674A0"/>
    <w:rsid w:val="00971015"/>
    <w:rsid w:val="0097148D"/>
    <w:rsid w:val="009836A7"/>
    <w:rsid w:val="009944D5"/>
    <w:rsid w:val="00995C7E"/>
    <w:rsid w:val="009A5E7A"/>
    <w:rsid w:val="009A696A"/>
    <w:rsid w:val="009C13BF"/>
    <w:rsid w:val="009C58DA"/>
    <w:rsid w:val="009D10A9"/>
    <w:rsid w:val="009D5DB0"/>
    <w:rsid w:val="009E09D4"/>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123A"/>
    <w:rsid w:val="00B657D9"/>
    <w:rsid w:val="00B65EC8"/>
    <w:rsid w:val="00B7103E"/>
    <w:rsid w:val="00B83883"/>
    <w:rsid w:val="00B921AF"/>
    <w:rsid w:val="00B92B57"/>
    <w:rsid w:val="00BA6D5C"/>
    <w:rsid w:val="00BB500A"/>
    <w:rsid w:val="00BD0EF7"/>
    <w:rsid w:val="00BD288A"/>
    <w:rsid w:val="00BD3184"/>
    <w:rsid w:val="00BD505F"/>
    <w:rsid w:val="00BE0321"/>
    <w:rsid w:val="00BE2D7B"/>
    <w:rsid w:val="00BF0EA4"/>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4863"/>
    <w:rsid w:val="00C7496E"/>
    <w:rsid w:val="00C74C76"/>
    <w:rsid w:val="00C76D1B"/>
    <w:rsid w:val="00C8545E"/>
    <w:rsid w:val="00C92EC9"/>
    <w:rsid w:val="00C932CD"/>
    <w:rsid w:val="00C950F2"/>
    <w:rsid w:val="00CA4016"/>
    <w:rsid w:val="00CB175F"/>
    <w:rsid w:val="00CC3D72"/>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A4DB6"/>
    <w:rsid w:val="00DB445E"/>
    <w:rsid w:val="00DB7DA2"/>
    <w:rsid w:val="00DC7EA4"/>
    <w:rsid w:val="00DE0141"/>
    <w:rsid w:val="00DE5FFF"/>
    <w:rsid w:val="00DE7989"/>
    <w:rsid w:val="00DE7F6D"/>
    <w:rsid w:val="00DF07B2"/>
    <w:rsid w:val="00E0418A"/>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2FE1"/>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7065"/>
    <w:rsid w:val="00EF02D0"/>
    <w:rsid w:val="00EF3FEF"/>
    <w:rsid w:val="00EF664A"/>
    <w:rsid w:val="00EF74CF"/>
    <w:rsid w:val="00F0159F"/>
    <w:rsid w:val="00F129A5"/>
    <w:rsid w:val="00F129AB"/>
    <w:rsid w:val="00F12B2A"/>
    <w:rsid w:val="00F23DCE"/>
    <w:rsid w:val="00F26501"/>
    <w:rsid w:val="00F3145D"/>
    <w:rsid w:val="00F32C9C"/>
    <w:rsid w:val="00F34113"/>
    <w:rsid w:val="00F3445E"/>
    <w:rsid w:val="00F35B27"/>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F5996"/>
    <w:rsid w:val="00FF5ACE"/>
    <w:rsid w:val="025F381E"/>
    <w:rsid w:val="02AF6C34"/>
    <w:rsid w:val="06730E82"/>
    <w:rsid w:val="079C0686"/>
    <w:rsid w:val="0EA4586B"/>
    <w:rsid w:val="0F0C02FF"/>
    <w:rsid w:val="10586D21"/>
    <w:rsid w:val="105D1C3D"/>
    <w:rsid w:val="111B47A3"/>
    <w:rsid w:val="118C0B23"/>
    <w:rsid w:val="11C1264C"/>
    <w:rsid w:val="12353479"/>
    <w:rsid w:val="16C2539D"/>
    <w:rsid w:val="1771452D"/>
    <w:rsid w:val="17C12D99"/>
    <w:rsid w:val="183F360B"/>
    <w:rsid w:val="18BE3DB0"/>
    <w:rsid w:val="19413279"/>
    <w:rsid w:val="19911A45"/>
    <w:rsid w:val="19D441C5"/>
    <w:rsid w:val="1C3B2DA5"/>
    <w:rsid w:val="1D2E1A11"/>
    <w:rsid w:val="1E1B571D"/>
    <w:rsid w:val="204E13A2"/>
    <w:rsid w:val="224F1184"/>
    <w:rsid w:val="22EC72A1"/>
    <w:rsid w:val="234745A7"/>
    <w:rsid w:val="235252E9"/>
    <w:rsid w:val="26103889"/>
    <w:rsid w:val="272E7CC9"/>
    <w:rsid w:val="27940DE1"/>
    <w:rsid w:val="2807684B"/>
    <w:rsid w:val="286375C7"/>
    <w:rsid w:val="2B94540E"/>
    <w:rsid w:val="2BB13488"/>
    <w:rsid w:val="2BB83D60"/>
    <w:rsid w:val="2CEA118B"/>
    <w:rsid w:val="2E446CF8"/>
    <w:rsid w:val="303A0873"/>
    <w:rsid w:val="304D71D6"/>
    <w:rsid w:val="30A4127D"/>
    <w:rsid w:val="31786C1C"/>
    <w:rsid w:val="31E620EA"/>
    <w:rsid w:val="32014534"/>
    <w:rsid w:val="33EF1CF9"/>
    <w:rsid w:val="343B02B7"/>
    <w:rsid w:val="34A360AF"/>
    <w:rsid w:val="35456ED6"/>
    <w:rsid w:val="35890C9A"/>
    <w:rsid w:val="35ED0128"/>
    <w:rsid w:val="38204CE3"/>
    <w:rsid w:val="3927471D"/>
    <w:rsid w:val="39947E1A"/>
    <w:rsid w:val="39947FCC"/>
    <w:rsid w:val="39A26CBE"/>
    <w:rsid w:val="3A3466CD"/>
    <w:rsid w:val="3D250077"/>
    <w:rsid w:val="3D507670"/>
    <w:rsid w:val="3FC463C8"/>
    <w:rsid w:val="405144D0"/>
    <w:rsid w:val="41277BB4"/>
    <w:rsid w:val="42640151"/>
    <w:rsid w:val="43743E09"/>
    <w:rsid w:val="44397461"/>
    <w:rsid w:val="46DC47D7"/>
    <w:rsid w:val="47CE5F0A"/>
    <w:rsid w:val="485817EC"/>
    <w:rsid w:val="494C7DBA"/>
    <w:rsid w:val="4B9906B2"/>
    <w:rsid w:val="4C4C4058"/>
    <w:rsid w:val="4D566849"/>
    <w:rsid w:val="4D751AA2"/>
    <w:rsid w:val="4D9E3E51"/>
    <w:rsid w:val="4E461062"/>
    <w:rsid w:val="4E5630F4"/>
    <w:rsid w:val="4EC816F2"/>
    <w:rsid w:val="4F765122"/>
    <w:rsid w:val="500378F9"/>
    <w:rsid w:val="511E62EB"/>
    <w:rsid w:val="528A1B2A"/>
    <w:rsid w:val="54207520"/>
    <w:rsid w:val="5521098F"/>
    <w:rsid w:val="55CC794D"/>
    <w:rsid w:val="56042342"/>
    <w:rsid w:val="57B808B5"/>
    <w:rsid w:val="594C595D"/>
    <w:rsid w:val="5A160E4E"/>
    <w:rsid w:val="5D8B16A6"/>
    <w:rsid w:val="5E162DDF"/>
    <w:rsid w:val="61764BE2"/>
    <w:rsid w:val="61D62FCE"/>
    <w:rsid w:val="620B7AFA"/>
    <w:rsid w:val="624406FC"/>
    <w:rsid w:val="633927C0"/>
    <w:rsid w:val="63C673D2"/>
    <w:rsid w:val="643C1CEA"/>
    <w:rsid w:val="64E57406"/>
    <w:rsid w:val="685202C9"/>
    <w:rsid w:val="698373A1"/>
    <w:rsid w:val="6A986B1F"/>
    <w:rsid w:val="6B7E0745"/>
    <w:rsid w:val="6C5D6058"/>
    <w:rsid w:val="6C62775A"/>
    <w:rsid w:val="6C6C23C8"/>
    <w:rsid w:val="6C755464"/>
    <w:rsid w:val="6F370719"/>
    <w:rsid w:val="6F8253A9"/>
    <w:rsid w:val="6FBB6940"/>
    <w:rsid w:val="70CA367A"/>
    <w:rsid w:val="71752373"/>
    <w:rsid w:val="71833D4B"/>
    <w:rsid w:val="7339308B"/>
    <w:rsid w:val="73804A61"/>
    <w:rsid w:val="73D31B98"/>
    <w:rsid w:val="747D0702"/>
    <w:rsid w:val="76C42446"/>
    <w:rsid w:val="77A5299C"/>
    <w:rsid w:val="797567D1"/>
    <w:rsid w:val="7CAE2BD2"/>
    <w:rsid w:val="7CBC5B13"/>
    <w:rsid w:val="7EE62606"/>
    <w:rsid w:val="7F27605A"/>
    <w:rsid w:val="7F357B1D"/>
    <w:rsid w:val="7F503D18"/>
    <w:rsid w:val="7FA94E19"/>
    <w:rsid w:val="7FCD7D17"/>
    <w:rsid w:val="7FFD11E8"/>
    <w:rsid w:val="BDFFF9B2"/>
    <w:rsid w:val="EEF37CD0"/>
    <w:rsid w:val="F55BD2B5"/>
    <w:rsid w:val="FFE6C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4"/>
    <w:qFormat/>
    <w:uiPriority w:val="0"/>
    <w:pPr>
      <w:keepNext/>
      <w:keepLines/>
      <w:spacing w:before="260" w:after="260" w:line="416" w:lineRule="auto"/>
      <w:outlineLvl w:val="2"/>
    </w:pPr>
    <w:rPr>
      <w:rFonts w:eastAsia="黑体"/>
      <w:b/>
      <w:bCs/>
      <w:szCs w:val="32"/>
    </w:rPr>
  </w:style>
  <w:style w:type="paragraph" w:styleId="6">
    <w:name w:val="heading 4"/>
    <w:basedOn w:val="1"/>
    <w:next w:val="1"/>
    <w:link w:val="22"/>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23"/>
    <w:qFormat/>
    <w:uiPriority w:val="0"/>
    <w:pPr>
      <w:spacing w:after="120"/>
    </w:pPr>
  </w:style>
  <w:style w:type="paragraph" w:styleId="7">
    <w:name w:val="annotation text"/>
    <w:basedOn w:val="1"/>
    <w:link w:val="30"/>
    <w:unhideWhenUsed/>
    <w:qFormat/>
    <w:uiPriority w:val="99"/>
    <w:pPr>
      <w:jc w:val="left"/>
    </w:pPr>
  </w:style>
  <w:style w:type="paragraph" w:styleId="8">
    <w:name w:val="Plain Text"/>
    <w:basedOn w:val="1"/>
    <w:link w:val="26"/>
    <w:qFormat/>
    <w:uiPriority w:val="0"/>
    <w:rPr>
      <w:rFonts w:ascii="宋体" w:hAnsi="Courier New" w:cs="Courier New"/>
      <w:szCs w:val="21"/>
    </w:rPr>
  </w:style>
  <w:style w:type="paragraph" w:styleId="9">
    <w:name w:val="Balloon Text"/>
    <w:basedOn w:val="1"/>
    <w:link w:val="32"/>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qFormat/>
    <w:uiPriority w:val="99"/>
    <w:rPr>
      <w:color w:val="136EC2"/>
      <w:u w:val="single"/>
    </w:rPr>
  </w:style>
  <w:style w:type="character" w:styleId="16">
    <w:name w:val="annotation reference"/>
    <w:basedOn w:val="14"/>
    <w:unhideWhenUsed/>
    <w:qFormat/>
    <w:uiPriority w:val="99"/>
    <w:rPr>
      <w:sz w:val="21"/>
      <w:szCs w:val="21"/>
    </w:rPr>
  </w:style>
  <w:style w:type="character" w:customStyle="1" w:styleId="17">
    <w:name w:val="标题 1 Char"/>
    <w:basedOn w:val="14"/>
    <w:link w:val="3"/>
    <w:qFormat/>
    <w:uiPriority w:val="9"/>
    <w:rPr>
      <w:rFonts w:ascii="Times New Roman" w:hAnsi="Times New Roman" w:eastAsia="宋体" w:cs="Times New Roman"/>
      <w:b/>
      <w:bCs/>
      <w:kern w:val="44"/>
      <w:sz w:val="44"/>
      <w:szCs w:val="44"/>
    </w:rPr>
  </w:style>
  <w:style w:type="character" w:customStyle="1" w:styleId="18">
    <w:name w:val="标题 2 字符"/>
    <w:basedOn w:val="14"/>
    <w:semiHidden/>
    <w:qFormat/>
    <w:uiPriority w:val="9"/>
    <w:rPr>
      <w:rFonts w:asciiTheme="majorHAnsi" w:hAnsiTheme="majorHAnsi" w:eastAsiaTheme="majorEastAsia" w:cstheme="majorBidi"/>
      <w:b/>
      <w:bCs/>
      <w:sz w:val="32"/>
      <w:szCs w:val="32"/>
    </w:rPr>
  </w:style>
  <w:style w:type="character" w:customStyle="1" w:styleId="19">
    <w:name w:val="标题 4 字符"/>
    <w:basedOn w:val="14"/>
    <w:semiHidden/>
    <w:qFormat/>
    <w:uiPriority w:val="9"/>
    <w:rPr>
      <w:rFonts w:asciiTheme="majorHAnsi" w:hAnsiTheme="majorHAnsi" w:eastAsiaTheme="majorEastAsia" w:cstheme="majorBidi"/>
      <w:b/>
      <w:bCs/>
      <w:sz w:val="28"/>
      <w:szCs w:val="28"/>
    </w:rPr>
  </w:style>
  <w:style w:type="character" w:customStyle="1" w:styleId="20">
    <w:name w:val="正文文本 字符"/>
    <w:basedOn w:val="14"/>
    <w:qFormat/>
    <w:uiPriority w:val="0"/>
    <w:rPr>
      <w:rFonts w:ascii="Times New Roman" w:hAnsi="Times New Roman" w:eastAsia="宋体" w:cs="Times New Roman"/>
      <w:szCs w:val="24"/>
    </w:rPr>
  </w:style>
  <w:style w:type="character" w:customStyle="1" w:styleId="21">
    <w:name w:val="标题 2 Char"/>
    <w:basedOn w:val="14"/>
    <w:link w:val="4"/>
    <w:qFormat/>
    <w:uiPriority w:val="0"/>
    <w:rPr>
      <w:rFonts w:ascii="Arial" w:hAnsi="Arial" w:eastAsia="方正小标宋简体" w:cs="Times New Roman"/>
      <w:b/>
      <w:bCs/>
      <w:sz w:val="44"/>
      <w:szCs w:val="32"/>
    </w:rPr>
  </w:style>
  <w:style w:type="character" w:customStyle="1" w:styleId="22">
    <w:name w:val="标题 4 Char"/>
    <w:basedOn w:val="14"/>
    <w:link w:val="6"/>
    <w:qFormat/>
    <w:uiPriority w:val="0"/>
    <w:rPr>
      <w:rFonts w:ascii="Arial" w:hAnsi="Arial" w:eastAsia="黑体" w:cs="Times New Roman"/>
      <w:b/>
      <w:bCs/>
      <w:sz w:val="28"/>
      <w:szCs w:val="28"/>
    </w:rPr>
  </w:style>
  <w:style w:type="character" w:customStyle="1" w:styleId="23">
    <w:name w:val="正文文本 Char"/>
    <w:basedOn w:val="14"/>
    <w:link w:val="2"/>
    <w:qFormat/>
    <w:uiPriority w:val="0"/>
    <w:rPr>
      <w:rFonts w:ascii="Times New Roman" w:hAnsi="Times New Roman" w:eastAsia="宋体" w:cs="Times New Roman"/>
      <w:szCs w:val="24"/>
    </w:rPr>
  </w:style>
  <w:style w:type="character" w:customStyle="1" w:styleId="24">
    <w:name w:val="标题 3 Char"/>
    <w:basedOn w:val="14"/>
    <w:link w:val="5"/>
    <w:qFormat/>
    <w:uiPriority w:val="0"/>
    <w:rPr>
      <w:rFonts w:ascii="Times New Roman" w:hAnsi="Times New Roman" w:eastAsia="黑体" w:cs="Times New Roman"/>
      <w:b/>
      <w:bCs/>
      <w:sz w:val="32"/>
      <w:szCs w:val="32"/>
    </w:rPr>
  </w:style>
  <w:style w:type="character" w:customStyle="1" w:styleId="25">
    <w:name w:val="纯文本 字符"/>
    <w:basedOn w:val="14"/>
    <w:semiHidden/>
    <w:qFormat/>
    <w:uiPriority w:val="99"/>
    <w:rPr>
      <w:rFonts w:hAnsi="Courier New" w:cs="Courier New" w:asciiTheme="minorEastAsia"/>
      <w:szCs w:val="24"/>
    </w:rPr>
  </w:style>
  <w:style w:type="character" w:customStyle="1" w:styleId="26">
    <w:name w:val="纯文本 Char"/>
    <w:basedOn w:val="14"/>
    <w:link w:val="8"/>
    <w:qFormat/>
    <w:uiPriority w:val="0"/>
    <w:rPr>
      <w:rFonts w:ascii="宋体" w:hAnsi="Courier New" w:eastAsia="宋体" w:cs="Courier New"/>
      <w:szCs w:val="21"/>
    </w:rPr>
  </w:style>
  <w:style w:type="paragraph" w:customStyle="1" w:styleId="27">
    <w:name w:val="List Paragraph"/>
    <w:basedOn w:val="1"/>
    <w:qFormat/>
    <w:uiPriority w:val="34"/>
    <w:pPr>
      <w:ind w:firstLine="420" w:firstLineChars="200"/>
    </w:pPr>
  </w:style>
  <w:style w:type="character" w:customStyle="1" w:styleId="28">
    <w:name w:val="页眉 Char"/>
    <w:basedOn w:val="14"/>
    <w:link w:val="11"/>
    <w:qFormat/>
    <w:uiPriority w:val="99"/>
    <w:rPr>
      <w:rFonts w:ascii="Times New Roman" w:hAnsi="Times New Roman" w:eastAsia="宋体" w:cs="Times New Roman"/>
      <w:sz w:val="18"/>
      <w:szCs w:val="18"/>
    </w:rPr>
  </w:style>
  <w:style w:type="character" w:customStyle="1" w:styleId="29">
    <w:name w:val="页脚 Char"/>
    <w:basedOn w:val="14"/>
    <w:link w:val="10"/>
    <w:qFormat/>
    <w:uiPriority w:val="99"/>
    <w:rPr>
      <w:rFonts w:ascii="Times New Roman" w:hAnsi="Times New Roman" w:eastAsia="宋体" w:cs="Times New Roman"/>
      <w:sz w:val="18"/>
      <w:szCs w:val="18"/>
    </w:rPr>
  </w:style>
  <w:style w:type="character" w:customStyle="1" w:styleId="30">
    <w:name w:val="批注文字 Char"/>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Char"/>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1422</Words>
  <Characters>8106</Characters>
  <Lines>67</Lines>
  <Paragraphs>19</Paragraphs>
  <TotalTime>0</TotalTime>
  <ScaleCrop>false</ScaleCrop>
  <LinksUpToDate>false</LinksUpToDate>
  <CharactersWithSpaces>9509</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2024-04-18T03:12:00Z</dcterms:created>
  <dc:creator>余文龙</dc:creator>
  <cp:lastModifiedBy>何晓娇</cp:lastModifiedBy>
  <cp:lastPrinted>2024-04-09T01:08:00Z</cp:lastPrinted>
  <dcterms:modified xsi:type="dcterms:W3CDTF">2026-04-07T11:30:09Z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