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物业管理服务项目采购合同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（一）“合同”是指甲方和乙方（以下简称双方）已达成的协议。</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（二）“甲方”是指采购服务的采购单位，或者受采购单位委托的采购机构。</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（三）“乙方”是指中标（成交）后提供服务的供应商。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（四）“合同</w:t>
      </w:r>
      <w:r>
        <w:rPr>
          <w:rFonts w:hint="eastAsia" w:ascii="仿宋_GB2312" w:hAnsi="仿宋_GB2312" w:eastAsia="仿宋_GB2312" w:cs="仿宋_GB2312"/>
          <w:b w:val="0"/>
          <w:bCs w:val="0"/>
          <w:sz w:val="28"/>
          <w:szCs w:val="28"/>
          <w:lang w:eastAsia="zh-CN"/>
        </w:rPr>
        <w:t>金额</w:t>
      </w:r>
      <w:r>
        <w:rPr>
          <w:rFonts w:hint="eastAsia" w:ascii="仿宋_GB2312" w:hAnsi="仿宋_GB2312" w:eastAsia="仿宋_GB2312" w:cs="仿宋_GB2312"/>
          <w:b w:val="0"/>
          <w:bCs w:val="0"/>
          <w:sz w:val="28"/>
          <w:szCs w:val="28"/>
        </w:rPr>
        <w:t>”是指根据</w:t>
      </w:r>
      <w:r>
        <w:rPr>
          <w:rFonts w:hint="eastAsia" w:ascii="仿宋_GB2312" w:hAnsi="仿宋_GB2312" w:eastAsia="仿宋_GB2312" w:cs="仿宋_GB2312"/>
          <w:b w:val="0"/>
          <w:bCs w:val="0"/>
          <w:sz w:val="28"/>
          <w:szCs w:val="28"/>
          <w:lang w:eastAsia="zh-CN"/>
        </w:rPr>
        <w:t>合同约定</w:t>
      </w:r>
      <w:r>
        <w:rPr>
          <w:rFonts w:hint="eastAsia" w:ascii="仿宋_GB2312" w:hAnsi="仿宋_GB2312" w:eastAsia="仿宋_GB2312" w:cs="仿宋_GB2312"/>
          <w:b w:val="0"/>
          <w:bCs w:val="0"/>
          <w:sz w:val="28"/>
          <w:szCs w:val="28"/>
        </w:rPr>
        <w:t>，在乙方全面正确地履行合同义务时支付给乙方的款项。</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楷体_GB2312" w:hAnsi="楷体_GB2312" w:eastAsia="楷体_GB2312" w:cs="楷体_GB2312"/>
          <w:sz w:val="21"/>
          <w:szCs w:val="21"/>
        </w:rPr>
      </w:pPr>
      <w:r>
        <w:rPr>
          <w:rFonts w:hint="eastAsia" w:ascii="仿宋_GB2312" w:hAnsi="仿宋_GB2312" w:eastAsia="仿宋_GB2312" w:cs="仿宋_GB2312"/>
          <w:b w:val="0"/>
          <w:bCs w:val="0"/>
          <w:sz w:val="28"/>
          <w:szCs w:val="28"/>
        </w:rPr>
        <w:t>（五）“服务”是指乙方根据合同约定向甲方交付或实施的服务。</w:t>
      </w:r>
      <w:r>
        <w:rPr>
          <w:rFonts w:hint="eastAsia" w:ascii="楷体_GB2312" w:hAnsi="楷体_GB2312" w:eastAsia="楷体_GB2312" w:cs="楷体_GB2312"/>
          <w:b w:val="0"/>
          <w:bCs w:val="0"/>
          <w:sz w:val="21"/>
          <w:szCs w:val="21"/>
        </w:rPr>
        <w:t>（</w:t>
      </w:r>
      <w:r>
        <w:rPr>
          <w:rFonts w:hint="eastAsia" w:ascii="楷体_GB2312" w:hAnsi="楷体_GB2312"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_GB2312" w:hAnsi="楷体_GB2312" w:eastAsia="楷体_GB2312" w:cs="楷体_GB2312"/>
          <w:b w:val="0"/>
          <w:bCs w:val="0"/>
          <w:sz w:val="21"/>
          <w:szCs w:val="21"/>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二、知识产权</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乙方应当保证甲方在使用乙方交付的服务成果时不受第三方提出侵犯其知识产权的指控，对此甲方不承担任何连带责任或赔偿责任。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三、合同的变更和解除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四、履约监督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（二）在不妨碍乙方正常作业的情况下，甲方有权不定期对服务的进度和过程质量管控情况进行监督检查，乙方承诺予以配合，如实反映情况，提供相关材料。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（三）乙方对于甲方采购管理部门、纪检监察部门、审计部门等职能部门开展的调查，承诺予以配合，如实反映情况，提供相关材料。</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五、转包与分包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w:t>
      </w:r>
      <w:r>
        <w:rPr>
          <w:rFonts w:hint="eastAsia" w:cs="仿宋_GB2312"/>
          <w:bCs/>
          <w:sz w:val="28"/>
          <w:szCs w:val="28"/>
          <w:lang w:eastAsia="zh-CN"/>
        </w:rPr>
        <w:t>通常</w:t>
      </w:r>
      <w:r>
        <w:rPr>
          <w:rFonts w:hint="eastAsia" w:ascii="仿宋_GB2312" w:hAnsi="仿宋_GB2312" w:eastAsia="仿宋_GB2312" w:cs="仿宋_GB2312"/>
          <w:bCs/>
          <w:sz w:val="28"/>
          <w:szCs w:val="28"/>
        </w:rPr>
        <w:t>不得将合同分包，</w:t>
      </w:r>
      <w:r>
        <w:rPr>
          <w:rFonts w:hint="eastAsia" w:cs="仿宋_GB2312"/>
          <w:bCs/>
          <w:sz w:val="28"/>
          <w:szCs w:val="28"/>
          <w:lang w:eastAsia="zh-CN"/>
        </w:rPr>
        <w:t>采购文件允许并</w:t>
      </w:r>
      <w:r>
        <w:rPr>
          <w:rFonts w:hint="eastAsia" w:ascii="仿宋_GB2312" w:hAnsi="仿宋_GB2312" w:eastAsia="仿宋_GB2312" w:cs="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（三）合同分包履行的，乙方应当与分包承担主体就分包项目向甲方承担连带责任。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六、争议解决方式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七、组成合同的文件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（一）采购合同及合同履行过程中双方协商达成的变更或补充协议；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（二）中标（成交）通知书；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（三）投标（报价）文件；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（四）采购文件；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（五）标准、规范及有关技术文件，图纸；</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八、其他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甲方情况：</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single"/>
        </w:rPr>
        <w:t xml:space="preserve">          </w:t>
      </w:r>
      <w:r>
        <w:rPr>
          <w:rFonts w:hint="eastAsia" w:ascii="楷体_GB2312" w:hAnsi="楷体_GB2312" w:eastAsia="楷体_GB2312" w:cs="楷体_GB2312"/>
          <w:b w:val="0"/>
          <w:bCs w:val="0"/>
          <w:sz w:val="24"/>
          <w:szCs w:val="24"/>
        </w:rPr>
        <w:t>（物业性质、工作特点、地理位置等情况）</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占地面积：</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single"/>
        </w:rPr>
        <w:t xml:space="preserve">            </w:t>
      </w:r>
      <w:r>
        <w:rPr>
          <w:rFonts w:hint="eastAsia" w:ascii="楷体_GB2312" w:hAnsi="楷体_GB2312" w:eastAsia="楷体_GB2312" w:cs="楷体_GB2312"/>
          <w:b w:val="0"/>
          <w:bCs w:val="0"/>
          <w:sz w:val="24"/>
          <w:szCs w:val="24"/>
        </w:rPr>
        <w:t>（总体面积、建筑面积及建筑物分布、绿化面积及分布、水体面积及分布等）</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（三）</w:t>
      </w:r>
      <w:r>
        <w:rPr>
          <w:rFonts w:hint="eastAsia" w:ascii="仿宋_GB2312" w:hAnsi="仿宋_GB2312" w:eastAsia="仿宋_GB2312" w:cs="仿宋_GB2312"/>
          <w:b w:val="0"/>
          <w:bCs w:val="0"/>
          <w:sz w:val="28"/>
          <w:szCs w:val="28"/>
        </w:rPr>
        <w:t>建筑物及构筑物情况：</w:t>
      </w:r>
      <w:r>
        <w:rPr>
          <w:rFonts w:hint="eastAsia" w:ascii="仿宋_GB2312" w:hAnsi="仿宋_GB2312" w:eastAsia="仿宋_GB2312" w:cs="仿宋_GB2312"/>
          <w:b w:val="0"/>
          <w:bCs w:val="0"/>
          <w:sz w:val="28"/>
          <w:szCs w:val="28"/>
          <w:u w:val="single"/>
        </w:rPr>
        <w:t xml:space="preserve">                  </w:t>
      </w:r>
      <w:r>
        <w:rPr>
          <w:rFonts w:hint="eastAsia" w:ascii="楷体_GB2312" w:hAnsi="楷体_GB2312" w:eastAsia="楷体_GB2312" w:cs="楷体_GB2312"/>
          <w:b w:val="0"/>
          <w:bCs w:val="0"/>
          <w:sz w:val="24"/>
          <w:szCs w:val="24"/>
        </w:rPr>
        <w:t>（建筑结构、建筑面积、楼层分布、功能划分等基础信息）</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（四）</w:t>
      </w:r>
      <w:r>
        <w:rPr>
          <w:rFonts w:hint="eastAsia" w:ascii="仿宋_GB2312" w:hAnsi="仿宋_GB2312" w:eastAsia="仿宋_GB2312" w:cs="仿宋_GB2312"/>
          <w:b w:val="0"/>
          <w:bCs w:val="0"/>
          <w:sz w:val="28"/>
          <w:szCs w:val="28"/>
        </w:rPr>
        <w:t>园林绿化情况：</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single"/>
        </w:rPr>
        <w:t xml:space="preserve">         </w:t>
      </w:r>
      <w:r>
        <w:rPr>
          <w:rFonts w:hint="eastAsia" w:ascii="楷体_GB2312" w:hAnsi="楷体_GB2312" w:eastAsia="楷体_GB2312" w:cs="楷体_GB2312"/>
          <w:b w:val="0"/>
          <w:bCs w:val="0"/>
          <w:sz w:val="24"/>
          <w:szCs w:val="24"/>
        </w:rPr>
        <w:t>（园林绿化区域面积、分布、植被组成等基础信息）</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（五）</w:t>
      </w:r>
      <w:r>
        <w:rPr>
          <w:rFonts w:hint="eastAsia" w:ascii="仿宋_GB2312" w:hAnsi="仿宋_GB2312" w:eastAsia="仿宋_GB2312" w:cs="仿宋_GB2312"/>
          <w:b w:val="0"/>
          <w:bCs w:val="0"/>
          <w:sz w:val="28"/>
          <w:szCs w:val="28"/>
        </w:rPr>
        <w:t>车库及车位情况：</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single"/>
        </w:rPr>
        <w:t xml:space="preserve">      </w:t>
      </w:r>
      <w:r>
        <w:rPr>
          <w:rFonts w:hint="eastAsia" w:ascii="楷体_GB2312" w:hAnsi="楷体_GB2312" w:eastAsia="楷体_GB2312" w:cs="楷体_GB2312"/>
          <w:b w:val="0"/>
          <w:bCs w:val="0"/>
          <w:sz w:val="24"/>
          <w:szCs w:val="24"/>
        </w:rPr>
        <w:t>（地下车库位置、分布、车位数量，地面车位数量及分布等信息）</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（六）</w:t>
      </w:r>
      <w:r>
        <w:rPr>
          <w:rFonts w:hint="eastAsia" w:ascii="仿宋_GB2312" w:hAnsi="仿宋_GB2312" w:eastAsia="仿宋_GB2312" w:cs="仿宋_GB2312"/>
          <w:b w:val="0"/>
          <w:bCs w:val="0"/>
          <w:sz w:val="28"/>
          <w:szCs w:val="28"/>
        </w:rPr>
        <w:t>传达室、各类设备监控室、机房等位置及条件:</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（七）</w:t>
      </w:r>
      <w:r>
        <w:rPr>
          <w:rFonts w:hint="eastAsia" w:ascii="仿宋_GB2312" w:hAnsi="仿宋_GB2312" w:eastAsia="仿宋_GB2312" w:cs="仿宋_GB2312"/>
          <w:b w:val="0"/>
          <w:bCs w:val="0"/>
          <w:sz w:val="28"/>
          <w:szCs w:val="28"/>
        </w:rPr>
        <w:t>餐厅及相关附属配套设施情况:</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（八）</w:t>
      </w:r>
      <w:r>
        <w:rPr>
          <w:rFonts w:hint="eastAsia" w:ascii="仿宋_GB2312" w:hAnsi="仿宋_GB2312" w:eastAsia="仿宋_GB2312" w:cs="仿宋_GB2312"/>
          <w:b w:val="0"/>
          <w:bCs w:val="0"/>
          <w:sz w:val="28"/>
          <w:szCs w:val="28"/>
        </w:rPr>
        <w:t>可提供给物业服务企业的基本条件：</w:t>
      </w:r>
      <w:r>
        <w:rPr>
          <w:rFonts w:hint="eastAsia" w:ascii="仿宋_GB2312" w:hAnsi="仿宋_GB2312" w:eastAsia="仿宋_GB2312" w:cs="仿宋_GB2312"/>
          <w:b w:val="0"/>
          <w:bCs w:val="0"/>
          <w:sz w:val="28"/>
          <w:szCs w:val="28"/>
          <w:u w:val="single"/>
        </w:rPr>
        <w:t xml:space="preserve">                </w:t>
      </w:r>
      <w:r>
        <w:rPr>
          <w:rFonts w:hint="eastAsia" w:ascii="楷体_GB2312" w:hAnsi="楷体_GB2312" w:eastAsia="楷体_GB2312" w:cs="楷体_GB2312"/>
          <w:b w:val="0"/>
          <w:bCs w:val="0"/>
          <w:sz w:val="24"/>
          <w:szCs w:val="24"/>
        </w:rPr>
        <w:t>（甲方可提供的物业服务企业办公、住宿、餐饮、设备情况及费用）</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（九）</w:t>
      </w:r>
      <w:r>
        <w:rPr>
          <w:rFonts w:hint="eastAsia" w:ascii="仿宋_GB2312" w:hAnsi="仿宋_GB2312" w:eastAsia="仿宋_GB2312" w:cs="仿宋_GB2312"/>
          <w:b w:val="0"/>
          <w:bCs w:val="0"/>
          <w:sz w:val="28"/>
          <w:szCs w:val="28"/>
        </w:rPr>
        <w:t>其他：</w:t>
      </w:r>
      <w:r>
        <w:rPr>
          <w:rFonts w:hint="eastAsia" w:ascii="仿宋_GB2312" w:hAnsi="仿宋_GB2312" w:eastAsia="仿宋_GB2312" w:cs="仿宋_GB2312"/>
          <w:b w:val="0"/>
          <w:bCs w:val="0"/>
          <w:sz w:val="28"/>
          <w:szCs w:val="28"/>
          <w:u w:val="single"/>
        </w:rPr>
        <w:t xml:space="preserve">                        </w:t>
      </w:r>
      <w:r>
        <w:rPr>
          <w:rFonts w:hint="eastAsia" w:ascii="楷体_GB2312" w:hAnsi="楷体_GB2312" w:eastAsia="楷体_GB2312" w:cs="楷体_GB2312"/>
          <w:b w:val="0"/>
          <w:bCs w:val="0"/>
          <w:sz w:val="24"/>
          <w:szCs w:val="24"/>
        </w:rPr>
        <w:t>（特种设备或需要物业服务企业负责的其他工作）</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三、合同履行的时间、地点及方式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cs="宋体"/>
          <w:bCs/>
          <w:sz w:val="28"/>
          <w:szCs w:val="28"/>
        </w:rPr>
        <w:t>（一）</w:t>
      </w:r>
      <w:r>
        <w:rPr>
          <w:rFonts w:hint="eastAsia" w:ascii="仿宋_GB2312" w:hAnsi="仿宋_GB2312" w:eastAsia="仿宋_GB2312" w:cs="仿宋_GB2312"/>
          <w:bCs/>
          <w:sz w:val="28"/>
          <w:szCs w:val="28"/>
        </w:rPr>
        <w:t>服务实施的期限：</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cs="宋体"/>
          <w:bCs/>
          <w:sz w:val="28"/>
          <w:szCs w:val="28"/>
        </w:rPr>
        <w:t>（二）</w:t>
      </w:r>
      <w:r>
        <w:rPr>
          <w:rFonts w:hint="eastAsia" w:ascii="仿宋_GB2312" w:hAnsi="仿宋_GB2312" w:eastAsia="仿宋_GB2312" w:cs="仿宋_GB2312"/>
          <w:bCs/>
          <w:sz w:val="28"/>
          <w:szCs w:val="28"/>
        </w:rPr>
        <w:t>服务实施的地域范围：</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sz w:val="28"/>
          <w:szCs w:val="28"/>
        </w:rPr>
      </w:pPr>
      <w:r>
        <w:rPr>
          <w:rFonts w:hint="eastAsia" w:ascii="黑体" w:hAnsi="黑体"/>
          <w:b w:val="0"/>
          <w:bCs w:val="0"/>
          <w:sz w:val="28"/>
          <w:szCs w:val="28"/>
        </w:rPr>
        <w:sym w:font="Wingdings 2" w:char="00A3"/>
      </w:r>
      <w:r>
        <w:rPr>
          <w:rFonts w:hint="eastAsia" w:ascii="黑体" w:hAnsi="黑体"/>
          <w:b w:val="0"/>
          <w:bCs w:val="0"/>
          <w:sz w:val="28"/>
          <w:szCs w:val="28"/>
        </w:rPr>
        <w:t>四、物业管理区域基本情况</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（一）坐落总数：</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个、占地总面积：</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平方米、营房总面积：</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平方米（其中：房改房</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平方米、公寓房</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平方米、办公指挥等其他用房</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平方米）、绿地总面积：</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lang w:val="en-US" w:eastAsia="zh-CN"/>
        </w:rPr>
        <w:t>1.</w:t>
      </w:r>
      <w:r>
        <w:rPr>
          <w:rFonts w:hint="eastAsia" w:ascii="仿宋_GB2312" w:hAnsi="仿宋_GB2312" w:eastAsia="仿宋_GB2312" w:cs="仿宋_GB2312"/>
          <w:bCs/>
          <w:sz w:val="28"/>
          <w:szCs w:val="28"/>
        </w:rPr>
        <w:t>坐落1位置：</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市</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区（县）</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路</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号</w:t>
      </w:r>
    </w:p>
    <w:p>
      <w:pPr>
        <w:keepNext w:val="0"/>
        <w:keepLines w:val="0"/>
        <w:pageBreakBefore w:val="0"/>
        <w:widowControl w:val="0"/>
        <w:kinsoku/>
        <w:wordWrap/>
        <w:overflowPunct/>
        <w:topLinePunct w:val="0"/>
        <w:autoSpaceDE/>
        <w:autoSpaceDN/>
        <w:bidi w:val="0"/>
        <w:adjustRightInd w:val="0"/>
        <w:snapToGrid/>
        <w:spacing w:line="530" w:lineRule="exact"/>
        <w:ind w:firstLine="840" w:firstLineChars="3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四至：（东至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西至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南至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北至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物业构成明细以甲乙双方承接查验清单为准，并作为本合同的附件。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二</w:t>
      </w:r>
      <w:r>
        <w:rPr>
          <w:rFonts w:hint="eastAsia" w:ascii="仿宋_GB2312" w:hAnsi="仿宋_GB2312" w:eastAsia="仿宋_GB2312" w:cs="仿宋_GB2312"/>
          <w:bCs/>
          <w:sz w:val="28"/>
          <w:szCs w:val="28"/>
        </w:rPr>
        <w:t>）物业服务用房主要用于物业服务企业日常办公场所、项目档案资料保存、工具物料存放、人员值班备勤等，其产权属甲方所有，甲方有权根据自身情况对物业用房进行调整，乙方在合同期限内无偿使用。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物业服务用房建筑面积</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平方米，位于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，其中地上建筑面积</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平方米，地下建筑面积</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五、服务内容和标准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乙方应当提供的物业服务包括但不限于以下内容：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（一）制订物业服务工作计划并组织实施，管理与物业相关的有关资料，并根据法律、法规和规章的授权制订物业服务各项制度。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（二）营房共用部位的日常维修、养护和管理，共用部位包括：楼盖、屋顶、外墙面、承重墙体、楼梯间、走廊通道</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cs="仿宋_GB2312"/>
          <w:bCs/>
          <w:sz w:val="28"/>
          <w:szCs w:val="28"/>
          <w:lang w:eastAsia="zh-CN"/>
        </w:rPr>
        <w:t>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（三）共用设施设备的日常维修、养护和管理，共用设施设备包括：道路、围墙、共用的上下水管道、共用照明</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营区重要设施设备专业维修与保养，重要供配电设施设备包括：变压器、备用油机</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等；重要暖通空调设施设备包括：锅炉、燃气调压（箱）站、中央空调</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等；重要给排水设施设备包括：海水淡化、污水站</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等；其他重要设施设备包括：电梯</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（四）附属建筑物、构筑物的日常维修、养护和管理，附属建筑物、构筑物包括：化粪池、泵房、水塔、自行车棚</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（五）营区水电气热运行管理及使用费用收缴</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（六）营区绿化养护与管理</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（七）营区环境卫生管理及生活垃圾处理，包括：公共区域的清洁卫生，垃圾的收集、清运、消纳及有害生物控制</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（八）营区消防管理，包括公共区域消防设施的维护、消防系统正常运行保养</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（九）营区场地管理，包括：营区停车场（库）管理</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（十）公用营房的专有部位日常维修，由甲方提供耗材或承担材料费用，乙方负责修缮。公用营房的专有部位主要包括：办公室室内、集体宿舍室内</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公寓住房户内专有部位标配的设施设备日常维修，属于自然损坏情形的，由甲方提供耗材或承担材料费用，乙方负责修缮；属于非自然损坏或自行添置的设施设备，由住户提供耗材或承担材料费用，乙方负责修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房改房户内专有部位日常维修，由住户提供耗材或承担材料费用，乙方负责修缮。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（十一）其他委托事项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应急支援保障，主要包括营区内大型活动供电、消防等临时保障、部队演习和应急任务水电支援保障</w:t>
      </w:r>
      <w:r>
        <w:rPr>
          <w:rFonts w:hint="eastAsia" w:cs="仿宋_GB2312"/>
          <w:bCs/>
          <w:sz w:val="28"/>
          <w:szCs w:val="28"/>
          <w:lang w:eastAsia="zh-CN"/>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。应急支援保障由乙方负责，发生的费用由双方另行协商确定。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维修更新改造项目技术服务咨询，甲方可委托乙方组织实施，双方另行签订合同。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（十二）乙方同意按照甲方明确的营区物业服务标准提供服务。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（十三）从事物业服务区域的负责人（项目负责人）应当持有省级或以上物业管理项目经理岗位证书，同时具有政府机关、高等院校、大型综合体、产业园区等物业管理</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年以上项目经理工作经验。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物业服务区域负责人为：</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，联系电话：</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项目负责人为：</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，联系电话：</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项目负责人为：</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，联系电话：</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乙方如更换项目负责人，应当于7日内书面通报甲方，经甲方同意后方可更换。甲方因故更换项目负责人，乙方应当于30日内完成更换。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（十四）</w:t>
      </w:r>
      <w:r>
        <w:rPr>
          <w:rFonts w:hint="eastAsia" w:ascii="仿宋" w:hAnsi="仿宋" w:eastAsia="仿宋_GB2312"/>
          <w:sz w:val="28"/>
          <w:szCs w:val="28"/>
        </w:rPr>
        <w:t>人员配备要求</w:t>
      </w:r>
      <w:r>
        <w:rPr>
          <w:rFonts w:hint="eastAsia" w:ascii="楷体_GB2312" w:hAnsi="楷体_GB2312" w:eastAsia="楷体_GB2312" w:cs="楷体_GB2312"/>
          <w:sz w:val="24"/>
          <w:szCs w:val="24"/>
          <w:lang w:eastAsia="zh-CN"/>
        </w:rPr>
        <w:t>（按乙方投标（报价）文件响应进行约定）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lang w:val="en-US" w:eastAsia="zh-CN"/>
        </w:rPr>
        <w:t>1.</w:t>
      </w:r>
      <w:r>
        <w:rPr>
          <w:rFonts w:hint="eastAsia" w:ascii="仿宋_GB2312" w:hAnsi="仿宋_GB2312" w:eastAsia="仿宋_GB2312" w:cs="仿宋_GB2312"/>
          <w:bCs/>
          <w:sz w:val="28"/>
          <w:szCs w:val="28"/>
        </w:rPr>
        <w:t>乙方为本物业管理区域配置的驻场物业服务人员不得少于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名。物业服务人员应当经过物业管理相关知识培训；技术负责人岗位具备相关专业工程师职称；相关从业人员应当持证上岗，涉及特种作业的，应当具备相应资质或委托具备相应资质的单位实施。进入营区的物业服务人员，必须经甲方政审合格，并签定保密协议。</w:t>
      </w:r>
    </w:p>
    <w:p>
      <w:pPr>
        <w:pStyle w:val="2"/>
        <w:keepNext w:val="0"/>
        <w:keepLines w:val="0"/>
        <w:pageBreakBefore w:val="0"/>
        <w:widowControl w:val="0"/>
        <w:kinsoku/>
        <w:wordWrap/>
        <w:overflowPunct/>
        <w:topLinePunct w:val="0"/>
        <w:autoSpaceDE/>
        <w:autoSpaceDN/>
        <w:bidi w:val="0"/>
        <w:adjustRightInd/>
        <w:snapToGrid/>
        <w:spacing w:after="0" w:line="530" w:lineRule="exact"/>
        <w:ind w:firstLine="560" w:firstLineChars="200"/>
        <w:textAlignment w:val="auto"/>
        <w:rPr>
          <w:rFonts w:ascii="仿宋" w:hAnsi="仿宋" w:eastAsia="仿宋"/>
          <w:sz w:val="28"/>
          <w:szCs w:val="28"/>
        </w:rPr>
      </w:pPr>
      <w:r>
        <w:rPr>
          <w:rFonts w:hint="eastAsia" w:ascii="仿宋_GB2312" w:hAnsi="仿宋_GB2312" w:eastAsia="仿宋_GB2312" w:cs="仿宋_GB2312"/>
          <w:bCs/>
          <w:kern w:val="2"/>
          <w:sz w:val="28"/>
          <w:szCs w:val="28"/>
          <w:lang w:val="en-US" w:eastAsia="zh-CN" w:bidi="ar-SA"/>
        </w:rPr>
        <w:t>2.</w:t>
      </w:r>
      <w:r>
        <w:rPr>
          <w:rFonts w:ascii="仿宋" w:hAnsi="仿宋" w:eastAsia="仿宋_GB2312"/>
          <w:sz w:val="28"/>
          <w:szCs w:val="28"/>
        </w:rPr>
        <w:t>分工种或岗位人员配备要求，具体列表如下：</w:t>
      </w:r>
    </w:p>
    <w:tbl>
      <w:tblPr>
        <w:tblStyle w:val="12"/>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905"/>
        <w:gridCol w:w="955"/>
        <w:gridCol w:w="4290"/>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lang w:eastAsia="zh-CN"/>
              </w:rPr>
              <w:t>序号</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bidi="ar"/>
              </w:rPr>
            </w:pPr>
            <w:r>
              <w:rPr>
                <w:rFonts w:hint="eastAsia" w:ascii="仿宋_GB2312" w:hAnsi="仿宋_GB2312" w:eastAsia="仿宋_GB2312" w:cs="仿宋_GB2312"/>
                <w:color w:val="000000"/>
                <w:sz w:val="21"/>
                <w:szCs w:val="21"/>
                <w:lang w:bidi="ar"/>
              </w:rPr>
              <w:t>工种或岗位</w:t>
            </w: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bidi="ar"/>
              </w:rPr>
              <w:t>人数</w:t>
            </w: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bidi="ar"/>
              </w:rPr>
              <w:t>条件</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val="en-US" w:eastAsia="zh-CN"/>
              </w:rPr>
            </w:pPr>
            <w:r>
              <w:rPr>
                <w:rFonts w:hint="eastAsia" w:cs="仿宋_GB2312"/>
                <w:color w:val="000000"/>
                <w:sz w:val="21"/>
                <w:szCs w:val="21"/>
                <w:lang w:val="en-US" w:eastAsia="zh-CN"/>
              </w:rPr>
              <w:t>1</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 w:hAnsi="仿宋" w:eastAsia="楷体_GB2312"/>
                <w:color w:val="000000"/>
                <w:sz w:val="21"/>
                <w:szCs w:val="21"/>
                <w:lang w:eastAsia="zh-CN"/>
              </w:rPr>
            </w:pPr>
            <w:r>
              <w:rPr>
                <w:rFonts w:hint="eastAsia" w:ascii="楷体_GB2312" w:hAnsi="楷体_GB2312" w:eastAsia="楷体_GB2312" w:cs="楷体_GB2312"/>
                <w:color w:val="000000"/>
                <w:sz w:val="21"/>
                <w:szCs w:val="21"/>
              </w:rPr>
              <w:t>职称学历年龄政治面貌</w:t>
            </w:r>
            <w:r>
              <w:rPr>
                <w:rFonts w:hint="eastAsia" w:ascii="楷体_GB2312" w:hAnsi="楷体_GB2312" w:eastAsia="楷体_GB2312" w:cs="楷体_GB2312"/>
                <w:color w:val="000000"/>
                <w:sz w:val="21"/>
                <w:szCs w:val="21"/>
                <w:lang w:eastAsia="zh-CN"/>
              </w:rPr>
              <w:t>应符合投标文件响应</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val="en-US" w:eastAsia="zh-CN"/>
              </w:rPr>
            </w:pPr>
            <w:r>
              <w:rPr>
                <w:rFonts w:hint="eastAsia" w:cs="仿宋_GB2312"/>
                <w:color w:val="000000"/>
                <w:sz w:val="21"/>
                <w:szCs w:val="21"/>
                <w:lang w:val="en-US" w:eastAsia="zh-CN"/>
              </w:rPr>
              <w:t>2</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r>
              <w:rPr>
                <w:rFonts w:hint="eastAsia" w:ascii="仿宋" w:hAnsi="仿宋" w:eastAsia="仿宋_GB2312"/>
                <w:color w:val="000000"/>
                <w:sz w:val="21"/>
                <w:szCs w:val="21"/>
              </w:rPr>
              <w:t>…</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 w:hAnsi="仿宋" w:eastAsia="仿宋_GB2312"/>
                <w:color w:val="000000"/>
                <w:sz w:val="21"/>
                <w:szCs w:val="21"/>
              </w:rPr>
            </w:pP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bl>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六、交接查验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（一）甲乙双方应当在服务开始</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日前，就交接时间、交接内容、交接查验、交接前后的责任等事项进行约定。交接时间应当确定具体时点，时点前相关责任由甲方承担，时点后相关责任由乙方承担。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承接项目时，应当制定全面的承接查验方案，并经甲方确认。甲方应当配合乙方对共用部位、共用设施设备进行查验，并签订确认书。查验后，甲乙双方确认存在的问题并协商解决，相关内容可作为本合同的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（三）乙方承接项目时，甲方应当向乙方移交保障服务部位的必要材料，包括并不限于单体建筑结构、设备竣工图，配套设施设备工程竣工图，设施设备安装、使用和维护保养技术资料等。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（四）针对新建物业承接查验，甲乙双方应当按照《物业承接查验办法》（建房〔2010〕165号）有关规定组织实施。</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lang w:eastAsia="zh-CN"/>
        </w:rPr>
        <w:t>七</w:t>
      </w:r>
      <w:r>
        <w:rPr>
          <w:rFonts w:hint="eastAsia" w:ascii="黑体" w:hAnsi="黑体"/>
          <w:b w:val="0"/>
          <w:bCs w:val="0"/>
        </w:rPr>
        <w:t>、履约验收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本合同交付</w:t>
      </w:r>
      <w:r>
        <w:rPr>
          <w:rFonts w:hint="eastAsia" w:ascii="仿宋" w:hAnsi="仿宋" w:eastAsia="仿宋_GB2312"/>
          <w:bCs/>
          <w:sz w:val="28"/>
          <w:szCs w:val="28"/>
        </w:rPr>
        <w:t>服务</w:t>
      </w:r>
      <w:r>
        <w:rPr>
          <w:rFonts w:hint="eastAsia" w:ascii="仿宋" w:hAnsi="仿宋"/>
          <w:bCs/>
          <w:sz w:val="28"/>
          <w:szCs w:val="28"/>
          <w:lang w:eastAsia="zh-CN"/>
        </w:rPr>
        <w:t>的</w:t>
      </w:r>
      <w:r>
        <w:rPr>
          <w:rFonts w:hint="eastAsia" w:ascii="仿宋" w:hAnsi="仿宋" w:eastAsia="仿宋_GB2312"/>
          <w:bCs/>
          <w:sz w:val="28"/>
          <w:szCs w:val="28"/>
        </w:rPr>
        <w:t>履约验收，其方式、程序、内容和验收标准等事项，按甲方规定执行。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（一）服务分期考核验收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1.甲方按合同约定的分期考核内容、标准对乙方实施的服务进行验收。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2.合同约定的分期考核内容包括日常督导考核、岗位督查、专项检查、特殊部位或者场所检查、满意度调查、合同履约综合评价等。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（3）专项检查。甲方针对服务的重点、难点问题或管理要求进行专项检查，甲乙双方共同记录。乙方对甲方在专项检查中发现问题，应当予以整改。乙方问题多次出现或整改不力的，甲方按考核标准进行处理。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（6）合同履约综合评价：甲方按合同约定的考核时间对乙方合同履行情况进行综合评价，综合评价可作为款项支付以及续签合同的依据。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3.服务分期考核内容、标准：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4.服务分期考核验收的其他要求：</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5.考核的其他要求：</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sym w:font="Wingdings 2" w:char="00A3"/>
      </w:r>
      <w:r>
        <w:rPr>
          <w:rFonts w:hint="eastAsia" w:ascii="黑体" w:hAnsi="黑体" w:eastAsia="黑体" w:cs="黑体"/>
          <w:bCs/>
          <w:sz w:val="28"/>
          <w:szCs w:val="28"/>
          <w:lang w:eastAsia="zh-CN"/>
        </w:rPr>
        <w:t>八</w:t>
      </w:r>
      <w:r>
        <w:rPr>
          <w:rFonts w:hint="eastAsia" w:ascii="黑体" w:hAnsi="黑体" w:eastAsia="黑体" w:cs="黑体"/>
          <w:bCs/>
          <w:sz w:val="28"/>
          <w:szCs w:val="28"/>
        </w:rPr>
        <w:t>、物业服务费用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（一）本物业管理区域物业服务收费方式为：</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rPr>
        <w:t>（包干制/酬金制）</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（二）包干制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1.物业服务费由单位或住户按其委托服务的拥有物业建筑面积交纳，具体标准如下：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多层住宅：</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元/平方米/月；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高层住宅：</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元/平方米/月；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办公楼等公用营房：</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元/平方米/月，年费用</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停车费：</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元/个/月；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物业：</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元/平方米/月，年费用</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2.物业服务费主要用于以下开支：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（1）驻场的管理、服务人员的工资和按规定缴纳的社会保险，以及按规定提取的福利费等；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（2）物业共用部位、共用设施设备的日常运行、维修、养护费用，以及具体约定的（见附件）物业专有部位日常维修费用（不含材料费）；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（3）物业管理区域内清洁卫生费用；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（4）物业管理区域内绿化养护费用；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（5）物业管理区域内秩序维护费用；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（6）物业管理区域内停车场库运行维护费用；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（7）物业服务企业办公费用；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（8）物业服务企业固定资产折旧；</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（9）物业共用部位、共用设施设备及公众责任保险费用；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（10）法定税费；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（11）物业服务企业的利润；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（12）</w:t>
      </w:r>
      <w:r>
        <w:rPr>
          <w:rFonts w:hint="eastAsia" w:cs="仿宋_GB2312"/>
          <w:bCs/>
          <w:sz w:val="28"/>
          <w:szCs w:val="28"/>
          <w:lang w:eastAsia="zh-CN"/>
        </w:rPr>
        <w:t>其他：</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3.实行包干制的，盈余或者亏损均由乙方享有或者承担；乙方不得以亏损为由要求增加费用、降低服务标准或者减少服务内容。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（三）酬金制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1.物业服务费由单位或住户按其委托服务的拥有物业建筑面积交纳，具体标准如下：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多层住宅：</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元/平方米/月；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高层住宅：</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元/平方米/月；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办公楼：</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元/平方米/月；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物业：</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元/平方米/月。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预收的物业服务费由物业服务支出和乙方的酬金构成。</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2.物业服务支出包括以下部分：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（1）管理服务人员的工资、社会保险和按规定提取的福利费等；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（2）物业共用部位、共用设施设备的日常运行、维修、养护费用，以及具体约定的（见附件）物业专有部位日常维修费用（不含材料费）；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（3）物业管理区域内清洁卫生费用；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（4）物业管理区域内绿化养护费用；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（5）物业管理区域内秩序维护费用；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（6）物业管理区域内停车场库运行维护费用；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（7）物业服务企业办公费用；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（8）物业服务企业固定资产折旧；</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（9）物业共用部位、共用设施设备及公众责任保险费用；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（10）其他：</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3.乙方采取以下第</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种方式提取酬金：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（1）乙方按</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rPr>
        <w:t>（每月/每季/每年）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元的标准从预收的物业服务资金中提取；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rPr>
        <w:t>（每月/每季/每年）</w:t>
      </w:r>
      <w:r>
        <w:rPr>
          <w:rFonts w:hint="eastAsia" w:ascii="仿宋_GB2312" w:hAnsi="仿宋_GB2312" w:eastAsia="仿宋_GB2312" w:cs="仿宋_GB2312"/>
          <w:bCs/>
          <w:sz w:val="28"/>
          <w:szCs w:val="28"/>
        </w:rPr>
        <w:t>按结算的物业服务费用</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%的比例提取。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4.物业服务支出应当全部用于本合同约定的支出，年度结算后结余部分，转入下一年度继续使用；年度结算后不足部分，由单位或住户承担，另行交纳。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四</w:t>
      </w:r>
      <w:r>
        <w:rPr>
          <w:rFonts w:hint="eastAsia" w:ascii="仿宋_GB2312" w:hAnsi="仿宋_GB2312" w:eastAsia="仿宋_GB2312" w:cs="仿宋_GB2312"/>
          <w:bCs/>
          <w:sz w:val="28"/>
          <w:szCs w:val="28"/>
        </w:rPr>
        <w:t>）乙方应当按照管理区域所在地价格主管部门的规定，将服务内容、服务标准、收费项目、收费标准等有关情况在物业管理区域内显著位置公示。</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五</w:t>
      </w:r>
      <w:r>
        <w:rPr>
          <w:rFonts w:hint="eastAsia" w:ascii="仿宋_GB2312" w:hAnsi="仿宋_GB2312" w:eastAsia="仿宋_GB2312" w:cs="仿宋_GB2312"/>
          <w:bCs/>
          <w:sz w:val="28"/>
          <w:szCs w:val="28"/>
        </w:rPr>
        <w:t>）乙方应当于每年第一季度公示上一年度物业服务合同履行情况、物业服务项目收支情况、本年度物业服务项目收支预算。甲方要求对物业服务项目收支情况进行审计的，乙方应当予以配合。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六</w:t>
      </w:r>
      <w:r>
        <w:rPr>
          <w:rFonts w:hint="eastAsia" w:ascii="仿宋_GB2312" w:hAnsi="仿宋_GB2312" w:eastAsia="仿宋_GB2312" w:cs="仿宋_GB2312"/>
          <w:bCs/>
          <w:sz w:val="28"/>
          <w:szCs w:val="28"/>
        </w:rPr>
        <w:t>）物业管理区域内的公用营房的共用部位、共用设施设备日常维修，配件单品单次价格500元以下由乙方承担，500元以上由甲方据实结算。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七</w:t>
      </w:r>
      <w:r>
        <w:rPr>
          <w:rFonts w:hint="eastAsia" w:ascii="仿宋_GB2312" w:hAnsi="仿宋_GB2312" w:eastAsia="仿宋_GB2312" w:cs="仿宋_GB2312"/>
          <w:bCs/>
          <w:sz w:val="28"/>
          <w:szCs w:val="28"/>
        </w:rPr>
        <w:t>）本项目在实施过程中，如确需调整服务范围或标准，由有关各方协商一致后，按照中标价与招标最高限价的优惠比例调整服务费用，甲乙双方签订补充协议进行约定。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八</w:t>
      </w:r>
      <w:r>
        <w:rPr>
          <w:rFonts w:hint="eastAsia" w:ascii="仿宋_GB2312" w:hAnsi="仿宋_GB2312" w:eastAsia="仿宋_GB2312" w:cs="仿宋_GB2312"/>
          <w:bCs/>
          <w:sz w:val="28"/>
          <w:szCs w:val="28"/>
        </w:rPr>
        <w:t>）本合同约定服务范围以外发生的单项服务费用，由甲方（使用方）与乙方协商一致，单项服务结束后按次支付。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九、权利与义务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（一）甲方的权利义务: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1.甲方派驻营区的驻点管理人员，代表甲方行使日常管理、保障、服务的责任；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2.负责向乙方提供本物业相关档案资料，在乙方合同周期届满时予以收回；</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有权要求乙方按合同约定的标准提供物业服务，监督乙方履行本合同，包括依据采购文件承诺配置驻场的人数、年龄、技术力量状况、人员成份等实施监督检查兑现情况，对乙方提供的物业服务有建议、督促的权利；</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4.合同保障服务期内，向乙方提供相应的物业用房及</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5.按合同约定及时向乙方支付保障服务费用；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6.有权组织物业服务满意度调查和日常物业服务质量考核，并对乙方提供的物业服务进行考核评定；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7.对乙方根据合同和有关规章制度提供的管理服务给予必要配合；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8.负责协调、处理、解决本委托合同生效前发生的遗留问题，不因此影响乙方工作；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9.有关法律规定和当事人约定的其他权利义务。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（二）乙方的权利义务：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1.根据有关法律、法规规定和合同约定，收取物业服务费；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2.按本合同约定的物业服务范围、内容和标准提供物业服务，并承担相应责任；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3.妥善保管和正确使用本物业的档案资料，及时记载有关变更信息，不得将营区信息用于物业管理活动之外的其他用途；</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4.及时向甲方和营区驻点管理人员书面通报物业管理区域内有关物业服务的重大事项，及时处理甲方报修、报事事宜，接受甲方和营区驻点管理人员的监督；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5.不得擅自占用物业管理区域内的共用部分或擅自改变其使用用途。不得擅自占用、挖掘物业管理区域内的道路、场地，确需临时占用的，应当按军队房地产管理有关规定，经甲方批准后方可实施;</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可将物业管理区域内的专项服务委托给专业性服务企业并支付由此产生的一切费用，但不得将全部物业服务一并委托给其他单位或个人。乙方应当将委托事项及受托企业的信息报告甲方。乙方与受托企业签订的合同中约定的服务标准，不得低于本合同的约定。乙方应当对受托企业的服务行为进行监督，并对受托企业的服务行为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7.乙方实施电梯、电气，以及有限空间、高空等涉及人身安全的作业，应当具备相应资质或委托具备相应资质的单位实施，委托其他具备相应资质的单位实施的，应当明确各自的安全管理责任；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w:t>
      </w:r>
      <w:r>
        <w:rPr>
          <w:rFonts w:hint="eastAsia" w:cs="仿宋_GB2312"/>
          <w:bCs/>
          <w:sz w:val="28"/>
          <w:szCs w:val="28"/>
          <w:lang w:val="en-US" w:eastAsia="zh-CN"/>
        </w:rPr>
        <w:t>.</w:t>
      </w:r>
      <w:r>
        <w:rPr>
          <w:rFonts w:hint="eastAsia" w:ascii="仿宋_GB2312" w:hAnsi="仿宋_GB2312" w:eastAsia="仿宋_GB2312" w:cs="仿宋_GB2312"/>
          <w:bCs/>
          <w:sz w:val="28"/>
          <w:szCs w:val="28"/>
        </w:rPr>
        <w:t>本合同物业服务期限届满或本合同提前解除时，乙方必须向甲方做好交接事宜;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9.协助甲方完成专业维保单位的设备检测、大面积绿植补种、市政托管项目的监管，乙方不承担相应费用；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10.有关法律规定和当事人约定的其他权利义务。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十</w:t>
      </w:r>
      <w:r>
        <w:rPr>
          <w:rFonts w:hint="eastAsia" w:ascii="黑体" w:hAnsi="黑体" w:eastAsia="黑体" w:cs="黑体"/>
          <w:bCs/>
          <w:sz w:val="28"/>
          <w:szCs w:val="28"/>
        </w:rPr>
        <w:t>、保密要求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w:t>
      </w:r>
      <w:r>
        <w:rPr>
          <w:rFonts w:hint="eastAsia" w:ascii="黑体" w:hAnsi="黑体" w:eastAsia="黑体" w:cs="黑体"/>
          <w:bCs/>
          <w:sz w:val="28"/>
          <w:szCs w:val="28"/>
          <w:lang w:eastAsia="zh-CN"/>
        </w:rPr>
        <w:t>十一</w:t>
      </w:r>
      <w:r>
        <w:rPr>
          <w:rFonts w:hint="eastAsia" w:ascii="黑体" w:hAnsi="黑体" w:eastAsia="黑体" w:cs="黑体"/>
          <w:bCs/>
          <w:sz w:val="28"/>
          <w:szCs w:val="28"/>
        </w:rPr>
        <w:t>、履约保证金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甲方有权没收乙方</w:t>
      </w:r>
      <w:r>
        <w:rPr>
          <w:rFonts w:hint="eastAsia" w:ascii="仿宋_GB2312" w:hAnsi="仿宋_GB2312" w:eastAsia="仿宋_GB2312" w:cs="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（三）履约保证金在合同最终支付结算时，无息返还。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（四）乙方应当向甲方支付合同项下的违约金或赔偿金时，甲方有权从履约保证金中予以扣除。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二</w:t>
      </w:r>
      <w:r>
        <w:rPr>
          <w:rFonts w:hint="eastAsia" w:ascii="黑体" w:hAnsi="黑体" w:eastAsia="黑体" w:cs="黑体"/>
          <w:bCs/>
          <w:sz w:val="28"/>
          <w:szCs w:val="28"/>
        </w:rPr>
        <w:t>、资金结算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□房改房、公寓房服务费用按居住类物业服务费用的标准，由乙方向物业管理区域内的住户按</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rPr>
        <w:t>（月/季/年）</w:t>
      </w:r>
      <w:r>
        <w:rPr>
          <w:rFonts w:hint="eastAsia" w:ascii="仿宋_GB2312" w:hAnsi="仿宋_GB2312" w:eastAsia="仿宋_GB2312" w:cs="仿宋_GB2312"/>
          <w:bCs/>
          <w:sz w:val="28"/>
          <w:szCs w:val="28"/>
        </w:rPr>
        <w:t>收取。其他物业服务费用</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w:t>
      </w:r>
      <w:r>
        <w:rPr>
          <w:rFonts w:hint="eastAsia" w:ascii="宋体" w:hAnsi="宋体" w:eastAsia="宋体" w:cs="宋体"/>
          <w:bCs/>
          <w:sz w:val="28"/>
          <w:szCs w:val="28"/>
        </w:rPr>
        <w:t>¥</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元），由甲方以</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付款方式于</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日之前支付。甲方（住户）支付相关物业服务费用后，乙方开具相应数额的增值税专用发票</w:t>
      </w:r>
      <w:r>
        <w:rPr>
          <w:rFonts w:hint="eastAsia" w:ascii="楷体_GB2312" w:hAnsi="楷体_GB2312" w:eastAsia="楷体_GB2312" w:cs="楷体_GB2312"/>
          <w:bCs/>
          <w:sz w:val="24"/>
          <w:szCs w:val="24"/>
          <w:lang w:eastAsia="zh-CN"/>
        </w:rPr>
        <w:t>（</w:t>
      </w:r>
      <w:r>
        <w:rPr>
          <w:rFonts w:hint="eastAsia" w:ascii="楷体_GB2312" w:hAnsi="楷体_GB2312" w:eastAsia="楷体_GB2312" w:cs="楷体_GB2312"/>
          <w:bCs/>
          <w:sz w:val="24"/>
          <w:szCs w:val="24"/>
        </w:rPr>
        <w:t>增值税普通发票</w:t>
      </w:r>
      <w:r>
        <w:rPr>
          <w:rFonts w:hint="eastAsia" w:ascii="楷体_GB2312" w:hAnsi="楷体_GB2312" w:eastAsia="楷体_GB2312" w:cs="楷体_GB2312"/>
          <w:bCs/>
          <w:sz w:val="24"/>
          <w:szCs w:val="24"/>
          <w:lang w:eastAsia="zh-CN"/>
        </w:rPr>
        <w:t>）</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_GB2312" w:hAnsi="仿宋_GB2312" w:eastAsia="仿宋_GB2312" w:cs="仿宋_GB2312"/>
          <w:bCs/>
          <w:sz w:val="28"/>
          <w:szCs w:val="28"/>
          <w:u w:val="single"/>
          <w:lang w:val="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0" w:name="_Hlk129354415"/>
      <w:r>
        <w:rPr>
          <w:rFonts w:hint="eastAsia" w:ascii="仿宋_GB2312" w:hAnsi="仿宋_GB2312" w:eastAsia="仿宋_GB2312" w:cs="仿宋_GB2312"/>
          <w:bCs/>
          <w:sz w:val="28"/>
          <w:szCs w:val="28"/>
        </w:rPr>
        <w:t>（二）结算要求：乙方未按承诺配备设备、人员的，每月按比例扣减费用，按比例累计扣减最多不超过合同金额的50%。其中：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1.乙方未按承诺配备设备的，每月扣减金额=（1-实际配备设备价值/承诺设备价值）×每月费用。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2.乙方未按承诺职称学历年龄政治面貌等配备相应人员的，每月扣减金额=（1-实际配备人数/承诺人数）×每月费用。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三</w:t>
      </w:r>
      <w:r>
        <w:rPr>
          <w:rFonts w:hint="eastAsia" w:ascii="仿宋_GB2312" w:hAnsi="仿宋_GB2312" w:eastAsia="仿宋_GB2312" w:cs="仿宋_GB2312"/>
          <w:bCs/>
          <w:sz w:val="28"/>
          <w:szCs w:val="28"/>
        </w:rPr>
        <w:t>）乙方应当向甲方支付合同项下的违约金或赔偿金时，甲方有权从上述任何一笔应当付款中予以扣除。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）在结算过程中，乙方出具虚假发票或其他虚假材料的，按照提供虚假材料情况处理。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五</w:t>
      </w:r>
      <w:r>
        <w:rPr>
          <w:rFonts w:hint="eastAsia" w:ascii="仿宋" w:hAnsi="仿宋" w:eastAsia="仿宋_GB2312"/>
          <w:bCs/>
          <w:sz w:val="28"/>
          <w:szCs w:val="28"/>
        </w:rPr>
        <w:t>）未经军队采购平台合同管理信息系统编号或者未按照要求进行备案的物资工程服务采购合同书，不得办理支付手续。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十一、违约责任</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eastAsia="zh-CN"/>
        </w:rPr>
        <w:t>（一）</w:t>
      </w:r>
      <w:r>
        <w:rPr>
          <w:rFonts w:hint="eastAsia" w:ascii="仿宋_GB2312" w:hAnsi="仿宋_GB2312" w:eastAsia="仿宋_GB2312" w:cs="仿宋_GB2312"/>
          <w:bCs/>
          <w:sz w:val="28"/>
          <w:szCs w:val="28"/>
        </w:rPr>
        <w:t>甲方违反合同约定，未能按时足额缴纳物业服务费，应按</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的标准向乙方支付违约金。住户未能按时足额缴纳物业服务费，违约责任由住户承担。</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eastAsia="zh-CN"/>
        </w:rPr>
        <w:t>（二）</w:t>
      </w:r>
      <w:r>
        <w:rPr>
          <w:rFonts w:hint="eastAsia" w:ascii="仿宋_GB2312" w:hAnsi="仿宋_GB2312" w:eastAsia="仿宋_GB2312" w:cs="仿宋_GB2312"/>
          <w:bCs/>
          <w:sz w:val="28"/>
          <w:szCs w:val="28"/>
        </w:rPr>
        <w:t>乙方未按照合同约定提供服务的，甲方有权要求乙方限期改正，逾期未整改或造成甲方损失的，乙方应按</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的标准向甲方支付违约金。</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eastAsia="zh-CN"/>
        </w:rPr>
        <w:t>（三）</w:t>
      </w:r>
      <w:r>
        <w:rPr>
          <w:rFonts w:hint="eastAsia" w:ascii="仿宋_GB2312" w:hAnsi="仿宋_GB2312" w:eastAsia="仿宋_GB2312" w:cs="仿宋_GB2312"/>
          <w:bCs/>
          <w:sz w:val="28"/>
          <w:szCs w:val="28"/>
        </w:rPr>
        <w:t>乙方违反本合同约定，擅自提高物业服务费标准的，甲方（住户）就超额部分有权拒绝交纳。</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（四）</w:t>
      </w:r>
      <w:r>
        <w:rPr>
          <w:rFonts w:hint="eastAsia" w:ascii="仿宋" w:hAnsi="仿宋" w:eastAsia="仿宋_GB2312"/>
          <w:bCs/>
          <w:sz w:val="28"/>
          <w:szCs w:val="28"/>
        </w:rPr>
        <w:t>除不可预见的情况外，乙方擅自停水、停电、停气、停热、停通讯、停有线电视信号及停止其他共用设施设备使用的，甲方有权要求乙方限期解决，乙方应当承担相应的民事责任。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（五）</w:t>
      </w:r>
      <w:r>
        <w:rPr>
          <w:rFonts w:hint="eastAsia" w:ascii="仿宋" w:hAnsi="仿宋" w:eastAsia="仿宋_GB2312"/>
          <w:bCs/>
          <w:sz w:val="28"/>
          <w:szCs w:val="28"/>
        </w:rPr>
        <w:t>乙方因管理不善造成房屋建筑质量、设施设备质量损害，达不到使用功能和造成重大事故的，由乙方承担相应责任。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（六）</w:t>
      </w:r>
      <w:r>
        <w:rPr>
          <w:rFonts w:hint="eastAsia" w:ascii="仿宋" w:hAnsi="仿宋" w:eastAsia="仿宋_GB2312"/>
          <w:bCs/>
          <w:sz w:val="28"/>
          <w:szCs w:val="28"/>
        </w:rPr>
        <w:t>乙方在本合同期限内擅自停止物业服务的,甲方可要求乙方继续履行，采取补救措施，并应当按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的标准向甲方支付违约金；前述行为给甲方造成损失的，乙方应当赔偿相应的损失；乙方在本合同终止后拒不撤出本物业管理区域的，甲方有权要求乙方按时撤出物业管理区域，并应当按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的标准向甲方支付违约金；前述行为给甲方造成损失的，乙方应当赔偿相应的损失。</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eastAsia="zh-CN"/>
        </w:rPr>
        <w:t>（七）</w:t>
      </w:r>
      <w:r>
        <w:rPr>
          <w:rFonts w:hint="eastAsia" w:ascii="仿宋_GB2312" w:hAnsi="仿宋_GB2312" w:eastAsia="仿宋_GB2312" w:cs="仿宋_GB2312"/>
          <w:bCs/>
          <w:sz w:val="28"/>
          <w:szCs w:val="28"/>
        </w:rPr>
        <w:t>为维护公共利益，在不可预见情况下，如发生煤气泄漏、漏电、火灾、暖气管、水管破裂等突发事件，乙方应采取紧急避险措施，因处置不当造成损失的，应当按有关规定处理。</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八</w:t>
      </w:r>
      <w:r>
        <w:rPr>
          <w:rFonts w:hint="eastAsia" w:ascii="仿宋" w:hAnsi="仿宋" w:eastAsia="仿宋_GB2312"/>
          <w:bCs/>
          <w:sz w:val="28"/>
          <w:szCs w:val="28"/>
        </w:rPr>
        <w:t>）</w:t>
      </w:r>
      <w:r>
        <w:rPr>
          <w:rFonts w:hint="eastAsia" w:ascii="仿宋" w:hAnsi="仿宋"/>
          <w:bCs/>
          <w:sz w:val="28"/>
          <w:szCs w:val="28"/>
          <w:lang w:eastAsia="zh-CN"/>
        </w:rPr>
        <w:t>因不可抗力致使合同部分或全部无法履行的，根据不可抗力的影响，部分或全部免除责任。</w:t>
      </w:r>
    </w:p>
    <w:bookmarkEnd w:id="0"/>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十二、争议解决方式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bCs/>
          <w:sz w:val="24"/>
          <w:szCs w:val="24"/>
        </w:rPr>
        <w:t>（此条款为单选，不选或全选无效）</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bCs/>
          <w:sz w:val="24"/>
          <w:szCs w:val="24"/>
        </w:rPr>
        <w:t>（甲方所在地仲裁机构名称）</w:t>
      </w:r>
      <w:r>
        <w:rPr>
          <w:rFonts w:hint="eastAsia" w:ascii="仿宋" w:hAnsi="仿宋" w:eastAsia="仿宋_GB2312"/>
          <w:bCs/>
          <w:sz w:val="28"/>
          <w:szCs w:val="28"/>
        </w:rPr>
        <w:t>提起仲裁。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□向甲方所在地人民法院提起诉讼。</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十三、合同生效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十四、其他事项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（一）本合同终止后尚未有新的服务商承接的，甲方可在不高于本合同价格标准的前提下，与乙方签订补充协议，适当延长服务期限，一般不超过合同期限的10%。</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（二）</w:t>
      </w:r>
      <w:r>
        <w:rPr>
          <w:rFonts w:hint="eastAsia" w:ascii="仿宋" w:hAnsi="仿宋" w:eastAsia="仿宋_GB2312"/>
          <w:bCs/>
          <w:sz w:val="28"/>
          <w:szCs w:val="28"/>
        </w:rPr>
        <w:t>其他：</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□十五、附件</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 w:hAnsi="仿宋" w:eastAsia="仿宋_GB2312"/>
          <w:bCs/>
          <w:sz w:val="28"/>
          <w:szCs w:val="28"/>
          <w:lang w:eastAsia="zh-CN"/>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1" w:name="_GoBack"/>
      <w:bookmarkEnd w:id="1"/>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 w:hAnsi="仿宋" w:eastAsia="仿宋_GB2312"/>
          <w:bCs/>
          <w:sz w:val="28"/>
          <w:szCs w:val="28"/>
          <w:lang w:eastAsia="zh-CN"/>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 w:hAnsi="仿宋" w:eastAsia="仿宋_GB2312"/>
          <w:bCs/>
          <w:sz w:val="28"/>
          <w:szCs w:val="28"/>
          <w:lang w:eastAsia="zh-CN"/>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 w:hAnsi="仿宋" w:eastAsia="仿宋_GB2312"/>
          <w:bCs/>
          <w:sz w:val="28"/>
          <w:szCs w:val="28"/>
          <w:lang w:eastAsia="zh-CN"/>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 w:hAnsi="仿宋" w:eastAsia="仿宋_GB2312"/>
          <w:bCs/>
          <w:sz w:val="28"/>
          <w:szCs w:val="28"/>
          <w:lang w:eastAsia="zh-CN"/>
        </w:rPr>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14C7C34"/>
    <w:rsid w:val="025F381E"/>
    <w:rsid w:val="02AF6C34"/>
    <w:rsid w:val="050A74F3"/>
    <w:rsid w:val="06730E82"/>
    <w:rsid w:val="079C0686"/>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652911"/>
    <w:rsid w:val="31786C1C"/>
    <w:rsid w:val="31E620EA"/>
    <w:rsid w:val="32014534"/>
    <w:rsid w:val="33EF1CF9"/>
    <w:rsid w:val="343B02B7"/>
    <w:rsid w:val="34A360AF"/>
    <w:rsid w:val="35456ED6"/>
    <w:rsid w:val="35890C9A"/>
    <w:rsid w:val="35E12A4B"/>
    <w:rsid w:val="35ED0128"/>
    <w:rsid w:val="38204CE3"/>
    <w:rsid w:val="3927471D"/>
    <w:rsid w:val="39947E1A"/>
    <w:rsid w:val="39947FCC"/>
    <w:rsid w:val="39A26CBE"/>
    <w:rsid w:val="3A3466CD"/>
    <w:rsid w:val="3AAB058E"/>
    <w:rsid w:val="3D250077"/>
    <w:rsid w:val="3D507670"/>
    <w:rsid w:val="3F8825E0"/>
    <w:rsid w:val="3FC463C8"/>
    <w:rsid w:val="405144D0"/>
    <w:rsid w:val="41277BB4"/>
    <w:rsid w:val="4200463C"/>
    <w:rsid w:val="42640151"/>
    <w:rsid w:val="43743E09"/>
    <w:rsid w:val="46DC47D7"/>
    <w:rsid w:val="47CE5F0A"/>
    <w:rsid w:val="485817EC"/>
    <w:rsid w:val="494C7DBA"/>
    <w:rsid w:val="4B9906B2"/>
    <w:rsid w:val="4C4C4058"/>
    <w:rsid w:val="4D566849"/>
    <w:rsid w:val="4D751AA2"/>
    <w:rsid w:val="4D9E3E51"/>
    <w:rsid w:val="4E461062"/>
    <w:rsid w:val="4E5630F4"/>
    <w:rsid w:val="4EC816F2"/>
    <w:rsid w:val="4F006203"/>
    <w:rsid w:val="4F765122"/>
    <w:rsid w:val="500378F9"/>
    <w:rsid w:val="511E62EB"/>
    <w:rsid w:val="528A1B2A"/>
    <w:rsid w:val="54207520"/>
    <w:rsid w:val="5521098F"/>
    <w:rsid w:val="55CC794D"/>
    <w:rsid w:val="57A13B3E"/>
    <w:rsid w:val="57B808B5"/>
    <w:rsid w:val="594C595D"/>
    <w:rsid w:val="5A160E4E"/>
    <w:rsid w:val="5ADF489C"/>
    <w:rsid w:val="5D8B16A6"/>
    <w:rsid w:val="5E162DDF"/>
    <w:rsid w:val="5E3D395A"/>
    <w:rsid w:val="61764BE2"/>
    <w:rsid w:val="61D62FCE"/>
    <w:rsid w:val="620B7AFA"/>
    <w:rsid w:val="624406FC"/>
    <w:rsid w:val="633927C0"/>
    <w:rsid w:val="63C673D2"/>
    <w:rsid w:val="643C1CEA"/>
    <w:rsid w:val="64E57406"/>
    <w:rsid w:val="673C721B"/>
    <w:rsid w:val="685202C9"/>
    <w:rsid w:val="698373A1"/>
    <w:rsid w:val="6A986B1F"/>
    <w:rsid w:val="6B7E0745"/>
    <w:rsid w:val="6C5D6058"/>
    <w:rsid w:val="6C6C23C8"/>
    <w:rsid w:val="6C755464"/>
    <w:rsid w:val="6E7C6598"/>
    <w:rsid w:val="6F8253A9"/>
    <w:rsid w:val="6FBB6940"/>
    <w:rsid w:val="70CA367A"/>
    <w:rsid w:val="71752373"/>
    <w:rsid w:val="71833D4B"/>
    <w:rsid w:val="718B591C"/>
    <w:rsid w:val="73804A61"/>
    <w:rsid w:val="73D31B98"/>
    <w:rsid w:val="747D0702"/>
    <w:rsid w:val="76C42446"/>
    <w:rsid w:val="77A5299C"/>
    <w:rsid w:val="77AC3E76"/>
    <w:rsid w:val="797567D1"/>
    <w:rsid w:val="7BEF3E3A"/>
    <w:rsid w:val="7CAE2BD2"/>
    <w:rsid w:val="7CBC5B13"/>
    <w:rsid w:val="7E5479AC"/>
    <w:rsid w:val="7EE62606"/>
    <w:rsid w:val="7F357B1D"/>
    <w:rsid w:val="7F503D18"/>
    <w:rsid w:val="7FA94E19"/>
    <w:rsid w:val="7FCD7D17"/>
    <w:rsid w:val="B8BEC240"/>
    <w:rsid w:val="BDFFF9B2"/>
    <w:rsid w:val="EDE9CBC5"/>
    <w:rsid w:val="EEF37CD0"/>
    <w:rsid w:val="FFE6C498"/>
    <w:rsid w:val="FFFD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2026-04-07T11:21:01Z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