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val="0"/>
        <w:snapToGrid/>
        <w:spacing w:line="240" w:lineRule="auto"/>
        <w:jc w:val="left"/>
        <w:textAlignment w:val="auto"/>
        <w:rPr>
          <w:rFonts w:hint="eastAsia" w:ascii="楷体_GB2312" w:hAnsi="楷体_GB2312" w:eastAsia="楷体_GB2312" w:cs="楷体_GB2312"/>
          <w:b w:val="0"/>
          <w:bCs/>
          <w:sz w:val="28"/>
          <w:szCs w:val="28"/>
        </w:rPr>
      </w:pPr>
      <w:r>
        <w:rPr>
          <w:rFonts w:hint="eastAsia" w:ascii="楷体_GB2312" w:hAnsi="楷体_GB2312" w:eastAsia="楷体_GB2312" w:cs="楷体_GB2312"/>
          <w:b w:val="0"/>
          <w:bCs/>
          <w:sz w:val="28"/>
          <w:szCs w:val="28"/>
          <w:lang w:eastAsia="zh-CN"/>
        </w:rPr>
        <w:t>军队</w:t>
      </w:r>
      <w:r>
        <w:rPr>
          <w:rFonts w:hint="eastAsia" w:ascii="楷体_GB2312" w:hAnsi="楷体_GB2312" w:eastAsia="楷体_GB2312" w:cs="楷体_GB2312"/>
          <w:b w:val="0"/>
          <w:bCs/>
          <w:sz w:val="28"/>
          <w:szCs w:val="28"/>
        </w:rPr>
        <w:t>物资</w:t>
      </w:r>
      <w:r>
        <w:rPr>
          <w:rFonts w:hint="eastAsia" w:ascii="楷体_GB2312" w:hAnsi="楷体_GB2312" w:eastAsia="楷体_GB2312" w:cs="楷体_GB2312"/>
          <w:b w:val="0"/>
          <w:bCs/>
          <w:sz w:val="28"/>
          <w:szCs w:val="28"/>
          <w:lang w:eastAsia="zh-CN"/>
        </w:rPr>
        <w:t>工程服务</w:t>
      </w:r>
      <w:r>
        <w:rPr>
          <w:rFonts w:hint="eastAsia" w:ascii="楷体_GB2312" w:hAnsi="楷体_GB2312" w:eastAsia="楷体_GB2312" w:cs="楷体_GB2312"/>
          <w:b w:val="0"/>
          <w:bCs/>
          <w:sz w:val="28"/>
          <w:szCs w:val="28"/>
        </w:rPr>
        <w:t>采购</w:t>
      </w:r>
      <w:r>
        <w:rPr>
          <w:rFonts w:hint="eastAsia" w:ascii="楷体_GB2312" w:hAnsi="楷体_GB2312" w:eastAsia="楷体_GB2312" w:cs="楷体_GB2312"/>
          <w:b w:val="0"/>
          <w:bCs/>
          <w:sz w:val="28"/>
          <w:szCs w:val="28"/>
          <w:lang w:eastAsia="zh-CN"/>
        </w:rPr>
        <w:t>合同示范文本</w:t>
      </w:r>
      <w:r>
        <w:rPr>
          <w:rFonts w:hint="eastAsia" w:ascii="楷体_GB2312" w:hAnsi="楷体_GB2312" w:eastAsia="楷体_GB2312" w:cs="楷体_GB2312"/>
          <w:b w:val="0"/>
          <w:bCs/>
          <w:sz w:val="28"/>
          <w:szCs w:val="28"/>
        </w:rPr>
        <w:t>（2.</w:t>
      </w:r>
      <w:r>
        <w:rPr>
          <w:rFonts w:hint="eastAsia" w:ascii="楷体_GB2312" w:hAnsi="楷体_GB2312" w:eastAsia="楷体_GB2312" w:cs="楷体_GB2312"/>
          <w:b w:val="0"/>
          <w:bCs/>
          <w:sz w:val="28"/>
          <w:szCs w:val="28"/>
          <w:lang w:val="en-US" w:eastAsia="zh-CN"/>
        </w:rPr>
        <w:t>1</w:t>
      </w:r>
      <w:r>
        <w:rPr>
          <w:rFonts w:hint="eastAsia" w:ascii="楷体_GB2312" w:hAnsi="楷体_GB2312" w:eastAsia="楷体_GB2312" w:cs="楷体_GB2312"/>
          <w:b w:val="0"/>
          <w:bCs/>
          <w:sz w:val="28"/>
          <w:szCs w:val="28"/>
        </w:rPr>
        <w:t>版）</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jc w:val="center"/>
        <w:textAlignment w:val="auto"/>
        <w:rPr>
          <w:rFonts w:hint="eastAsia" w:ascii="方正小标宋简体" w:hAnsi="方正小标宋简体" w:eastAsia="方正小标宋简体" w:cs="方正小标宋简体"/>
          <w:b w:val="0"/>
          <w:bCs/>
          <w:snapToGrid w:val="0"/>
          <w:kern w:val="0"/>
          <w:sz w:val="52"/>
          <w:szCs w:val="52"/>
          <w:lang w:eastAsia="zh-CN"/>
        </w:rPr>
      </w:pPr>
      <w:r>
        <w:rPr>
          <w:rFonts w:hint="eastAsia" w:ascii="方正小标宋简体" w:hAnsi="方正小标宋简体" w:eastAsia="方正小标宋简体" w:cs="方正小标宋简体"/>
          <w:b w:val="0"/>
          <w:bCs/>
          <w:snapToGrid w:val="0"/>
          <w:kern w:val="0"/>
          <w:sz w:val="52"/>
          <w:szCs w:val="52"/>
          <w:lang w:eastAsia="zh-CN"/>
        </w:rPr>
        <w:t>信息系统运行维护服</w:t>
      </w:r>
      <w:bookmarkStart w:id="8" w:name="_GoBack"/>
      <w:bookmarkEnd w:id="8"/>
      <w:r>
        <w:rPr>
          <w:rFonts w:hint="eastAsia" w:ascii="方正小标宋简体" w:hAnsi="方正小标宋简体" w:eastAsia="方正小标宋简体" w:cs="方正小标宋简体"/>
          <w:b w:val="0"/>
          <w:bCs/>
          <w:snapToGrid w:val="0"/>
          <w:kern w:val="0"/>
          <w:sz w:val="52"/>
          <w:szCs w:val="52"/>
          <w:lang w:eastAsia="zh-CN"/>
        </w:rPr>
        <w:t>务项目采购合同</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项目名称:</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项目编号: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合同编号: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甲方（采购单位）:</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乙方（供 应 商）:</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pStyle w:val="3"/>
        <w:keepNext w:val="0"/>
        <w:keepLines w:val="0"/>
        <w:pageBreakBefore w:val="0"/>
        <w:widowControl w:val="0"/>
        <w:kinsoku/>
        <w:wordWrap/>
        <w:overflowPunct/>
        <w:topLinePunct w:val="0"/>
        <w:autoSpaceDE/>
        <w:autoSpaceDN/>
        <w:bidi w:val="0"/>
        <w:adjustRightInd w:val="0"/>
        <w:snapToGrid/>
        <w:spacing w:before="0" w:after="0" w:line="560" w:lineRule="exact"/>
        <w:jc w:val="center"/>
        <w:textAlignment w:val="auto"/>
        <w:rPr>
          <w:rFonts w:hint="eastAsia" w:ascii="方正小标宋简体" w:hAnsi="方正小标宋简体" w:eastAsia="方正小标宋简体" w:cs="方正小标宋简体"/>
          <w:b w:val="0"/>
          <w:bCs w:val="0"/>
          <w:lang w:val="zh-CN"/>
        </w:rPr>
        <w:sectPr>
          <w:headerReference r:id="rId3" w:type="first"/>
          <w:footerReference r:id="rId6" w:type="first"/>
          <w:footerReference r:id="rId4" w:type="default"/>
          <w:footerReference r:id="rId5" w:type="even"/>
          <w:pgSz w:w="11906" w:h="16838"/>
          <w:pgMar w:top="2098" w:right="1474" w:bottom="1984" w:left="1587" w:header="851" w:footer="992" w:gutter="0"/>
          <w:pgNumType w:fmt="decimal" w:start="0"/>
          <w:cols w:space="0" w:num="1"/>
          <w:rtlGutter w:val="0"/>
          <w:docGrid w:type="lines" w:linePitch="490" w:charSpace="0"/>
        </w:sectPr>
      </w:pP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一、定义</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（一）“合同”是指甲方和乙方（以下简称双方）已达成的协议。</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（二）“甲方”是指采购服务的采购单位，或者受采购单位委托的采购机构。</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（三）“乙方”是指中标（成交）后提供服务的供应商。</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（四）“合同</w:t>
      </w:r>
      <w:r>
        <w:rPr>
          <w:rFonts w:hint="eastAsia" w:ascii="仿宋_GB2312" w:hAnsi="仿宋_GB2312" w:eastAsia="仿宋_GB2312" w:cs="仿宋_GB2312"/>
          <w:b w:val="0"/>
          <w:bCs w:val="0"/>
          <w:sz w:val="28"/>
          <w:szCs w:val="28"/>
          <w:lang w:eastAsia="zh-CN"/>
        </w:rPr>
        <w:t>金额</w:t>
      </w:r>
      <w:r>
        <w:rPr>
          <w:rFonts w:hint="eastAsia" w:ascii="仿宋_GB2312" w:hAnsi="仿宋_GB2312" w:eastAsia="仿宋_GB2312" w:cs="仿宋_GB2312"/>
          <w:b w:val="0"/>
          <w:bCs w:val="0"/>
          <w:sz w:val="28"/>
          <w:szCs w:val="28"/>
        </w:rPr>
        <w:t>”是指根据</w:t>
      </w:r>
      <w:r>
        <w:rPr>
          <w:rFonts w:hint="eastAsia" w:ascii="仿宋_GB2312" w:hAnsi="仿宋_GB2312" w:eastAsia="仿宋_GB2312" w:cs="仿宋_GB2312"/>
          <w:b w:val="0"/>
          <w:bCs w:val="0"/>
          <w:sz w:val="28"/>
          <w:szCs w:val="28"/>
          <w:lang w:eastAsia="zh-CN"/>
        </w:rPr>
        <w:t>合同约定</w:t>
      </w:r>
      <w:r>
        <w:rPr>
          <w:rFonts w:hint="eastAsia" w:ascii="仿宋_GB2312" w:hAnsi="仿宋_GB2312" w:eastAsia="仿宋_GB2312" w:cs="仿宋_GB2312"/>
          <w:b w:val="0"/>
          <w:bCs w:val="0"/>
          <w:sz w:val="28"/>
          <w:szCs w:val="28"/>
        </w:rPr>
        <w:t>，在乙方全面正确地履行合同义务时支付给乙方的款项。</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楷体_GB2312" w:hAnsi="楷体_GB2312" w:eastAsia="楷体_GB2312" w:cs="楷体_GB2312"/>
          <w:sz w:val="21"/>
          <w:szCs w:val="21"/>
        </w:rPr>
      </w:pPr>
      <w:r>
        <w:rPr>
          <w:rFonts w:hint="eastAsia" w:ascii="仿宋_GB2312" w:hAnsi="仿宋_GB2312" w:eastAsia="仿宋_GB2312" w:cs="仿宋_GB2312"/>
          <w:b w:val="0"/>
          <w:bCs w:val="0"/>
          <w:sz w:val="28"/>
          <w:szCs w:val="28"/>
        </w:rPr>
        <w:t>（五）“服务”是指乙方根据合同约定向甲方交付或实施的服务。</w:t>
      </w:r>
      <w:r>
        <w:rPr>
          <w:rFonts w:hint="eastAsia" w:ascii="楷体_GB2312" w:hAnsi="楷体_GB2312" w:eastAsia="楷体_GB2312" w:cs="楷体_GB2312"/>
          <w:b w:val="0"/>
          <w:bCs w:val="0"/>
          <w:sz w:val="21"/>
          <w:szCs w:val="21"/>
        </w:rPr>
        <w:t>（</w:t>
      </w:r>
      <w:r>
        <w:rPr>
          <w:rFonts w:hint="eastAsia" w:ascii="楷体_GB2312" w:hAnsi="楷体_GB2312" w:eastAsia="楷体_GB2312" w:cs="楷体_GB2312"/>
          <w:b w:val="0"/>
          <w:bCs w:val="0"/>
          <w:sz w:val="24"/>
          <w:szCs w:val="24"/>
        </w:rPr>
        <w:t>交付类项目，是指在选择乙方后，由乙方按合同要求提供成果或者产品，如设计、规划、软件开发类等项目；实施类项目，是指在选择乙方后，由乙方按合同要求实施服务，如营区内饮食社会化保障、营区内超市（便利店）、物业管理服务类等项目</w:t>
      </w:r>
      <w:r>
        <w:rPr>
          <w:rFonts w:hint="eastAsia" w:ascii="楷体_GB2312" w:hAnsi="楷体_GB2312" w:eastAsia="楷体_GB2312" w:cs="楷体_GB2312"/>
          <w:b w:val="0"/>
          <w:bCs w:val="0"/>
          <w:sz w:val="21"/>
          <w:szCs w:val="21"/>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二、知识产权</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乙方应当保证甲方在使用乙方交付的服务成果时不受第三方提出侵犯其知识产权的指控，对此甲方不承担任何连带责任或赔偿责任。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三、合同的变更和解除</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（一）因合同变更、解除造成损失的，过错方应当按照合同约定或者国家法律法规承担赔偿责任，双方都有过错的，应当按照合同约定或者国家法律法规各自承担相应的责任。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（二）合同履行中，存在以下情形之一的，经双方协商一致，并由甲方按照军队有关规定办理审批后，可以变更合同：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甲方需要追加或者减少与合同标的相同的物资或者服务的，在不改变合同其他条款的前提下，可以与乙方协商，进行协议追加或者减少；追加采购金额不得超过原合同采购金额的10%；按照预先采购结果、共享共用采购结果等订立的采购合同，其变更适用情形另有规定的，按照有关规定执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2.因产品停产、技术升级等不可预知的客观原因导致合同难以履行，需要更换同品牌升级产品或者同品质升级服务，甲方可以视情组织专家论证，签订合同变更协议，但合同标的单价不得提高</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4.继续履行合同将损害国家或者军队利益，通过合同变更能够消除相应损害的，可以变更合同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5.国家法律法规规定或者合同约定的其他合同变更的情形。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（三）合同履行中，存在以下情形之一的，甲方有权解除合同：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1.因不可抗力无法履行合同，不能实现合同目的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2.继续履行合同将损害国家或者甲方利益，且无法通过合同变更或者中止方式解决</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3.采购任务调整或者取消，不能通过合同变更方式达成新协议</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4.乙方明确表示或者以自己的行为表明不履行合同主要义务</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5.乙方迟延履行合同主要义务，经催告后在限定合理整改期限内仍不履行</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6.乙方存在违规违约行为致使不能实现合同目的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rPr>
        <w:t>7.乙方</w:t>
      </w:r>
      <w:r>
        <w:rPr>
          <w:rFonts w:hint="eastAsia" w:ascii="仿宋_GB2312" w:hAnsi="仿宋_GB2312" w:eastAsia="仿宋_GB2312" w:cs="仿宋_GB2312"/>
          <w:bCs/>
          <w:sz w:val="28"/>
          <w:szCs w:val="28"/>
          <w:lang w:val="zh-CN"/>
        </w:rPr>
        <w:t>发生控股关系、经营范围等重大实质性变化，不符合合同约定的</w:t>
      </w:r>
      <w:r>
        <w:rPr>
          <w:rFonts w:hint="eastAsia" w:cs="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8.国家法律法规规定或者合同约定的其他情形。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（四）解除合同时，合同尚未履行的部分终止履行；对于乙方已履行的部分，双方区分情形，按照以下约定办理：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3.合同已履行部分根据甲方要求经乙方补救后仍未达到合同约定要求的，甲方有权拒绝支付相应的费用</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4.乙方对合同解除负有主要过错责任的，甲方有权拒绝接收合同已履行部分服务。</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四、履约监督</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（一）乙方应当接受甲方对其资质和履约能力进行监管，并保证在其资质和履约能力发生变化时及时向甲方通报，乙方存在法律规定的丧失或者可能丧失合同履行能力有关情形时，甲方有权中止合同履行：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1.经营状况严重恶化的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2.转移财产、抽逃资金，以逃避债务的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3.丧失商业信誉的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4.有丧失或者可能丧失履行合同能力的其他情形。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甲方中止合同履行的，应当及时通知乙方。乙方提供适当担保的，甲方应当恢复履行。如果乙方在合理期限内未恢复履行能力且未提供适当担保的，甲方有权解除合同，并要求乙方承担违约责任。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（二）在不妨碍乙方正常作业的情况下，甲方有权不定期对服务的进度和过程质量管控情况进行监督检查，乙方承诺予以配合，如实反映情况，提供相关材料。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（三）乙方对于甲方采购管理部门、纪检监察部门、审计部门等职能部门开展的调查，承诺予以配合，如实反映情况，提供相关材料。</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五、转包与分包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（一）乙方不得以任何形式将合同转包。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w:t>
      </w:r>
      <w:r>
        <w:rPr>
          <w:rFonts w:hint="eastAsia" w:cs="仿宋_GB2312"/>
          <w:bCs/>
          <w:sz w:val="28"/>
          <w:szCs w:val="28"/>
          <w:lang w:eastAsia="zh-CN"/>
        </w:rPr>
        <w:t>通常</w:t>
      </w:r>
      <w:r>
        <w:rPr>
          <w:rFonts w:hint="eastAsia" w:ascii="仿宋_GB2312" w:hAnsi="仿宋_GB2312" w:eastAsia="仿宋_GB2312" w:cs="仿宋_GB2312"/>
          <w:bCs/>
          <w:sz w:val="28"/>
          <w:szCs w:val="28"/>
        </w:rPr>
        <w:t>不得将合同分包，</w:t>
      </w:r>
      <w:r>
        <w:rPr>
          <w:rFonts w:hint="eastAsia" w:cs="仿宋_GB2312"/>
          <w:bCs/>
          <w:sz w:val="28"/>
          <w:szCs w:val="28"/>
          <w:lang w:eastAsia="zh-CN"/>
        </w:rPr>
        <w:t>采购文件允许并</w:t>
      </w:r>
      <w:r>
        <w:rPr>
          <w:rFonts w:hint="eastAsia" w:ascii="仿宋_GB2312" w:hAnsi="仿宋_GB2312" w:eastAsia="仿宋_GB2312" w:cs="仿宋_GB2312"/>
          <w:bCs/>
          <w:sz w:val="28"/>
          <w:szCs w:val="28"/>
        </w:rPr>
        <w:t>在投标（报价）文件中说明的情形除外。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（三）合同分包履行的，乙方应当与分包承担主体就分包项目向甲方承担连带责任。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六、争议解决方式</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合同履行过程中，发生争议时，按照下列方式解决：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（一）甲方和乙方协商解决。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（二）协商不一致的，甲方或者乙方向采购机构负责合同履约的部门反映情况，请求第一次调解处理；第一次调解不成功的，向军级单位采购管理部门或者同等权限的采购管理部门请求第二次调解处理。</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七、组成合同的文件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组成本合同的文件及优先解释顺序如下：</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（一）采购合同及合同履行过程中双方协商达成的变更或补充协议；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（二）中标（成交）通知书；</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（三）投标（报价）文件；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（四）采购文件；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（五）标准、规范及有关技术文件，图纸；</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（六）其他合同文件。</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八、其他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（一）合同未尽事宜，双方另行签订补充协议，补充协议是合同的组成部分。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sz w:val="32"/>
          <w:szCs w:val="32"/>
        </w:rPr>
      </w:pPr>
      <w:r>
        <w:rPr>
          <w:rFonts w:hint="eastAsia" w:ascii="仿宋_GB2312" w:hAnsi="仿宋_GB2312" w:eastAsia="仿宋_GB2312" w:cs="仿宋_GB2312"/>
          <w:bCs/>
          <w:sz w:val="28"/>
          <w:szCs w:val="28"/>
        </w:rPr>
        <w:t>（二）本合同按照军队合同备案管理规定统一编号后，报相关部门备案。</w:t>
      </w: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ascii="黑体" w:hAnsi="黑体" w:eastAsia="黑体"/>
          <w:b w:val="0"/>
          <w:bCs w:val="0"/>
        </w:rPr>
        <w:sectPr>
          <w:footerReference r:id="rId7" w:type="default"/>
          <w:footerReference r:id="rId8" w:type="even"/>
          <w:pgSz w:w="11906" w:h="16838"/>
          <w:pgMar w:top="2098" w:right="1474" w:bottom="1984" w:left="1587" w:header="851" w:footer="1247" w:gutter="0"/>
          <w:pgNumType w:fmt="decimal" w:start="1"/>
          <w:cols w:space="0" w:num="1"/>
          <w:rtlGutter w:val="0"/>
          <w:docGrid w:type="lines" w:linePitch="490" w:charSpace="0"/>
        </w:sectPr>
      </w:pP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keepNext w:val="0"/>
        <w:keepLines w:val="0"/>
        <w:pageBreakBefore w:val="0"/>
        <w:widowControl w:val="0"/>
        <w:kinsoku/>
        <w:wordWrap/>
        <w:overflowPunct/>
        <w:topLinePunct w:val="0"/>
        <w:autoSpaceDE/>
        <w:autoSpaceDN/>
        <w:bidi w:val="0"/>
        <w:adjustRightInd w:val="0"/>
        <w:snapToGrid/>
        <w:spacing w:before="0" w:after="0" w:line="530" w:lineRule="exact"/>
        <w:ind w:firstLine="640" w:firstLineChars="200"/>
        <w:textAlignment w:val="auto"/>
        <w:outlineLvl w:val="9"/>
        <w:rPr>
          <w:rFonts w:hint="eastAsia"/>
          <w:b w:val="0"/>
          <w:bCs w:val="0"/>
        </w:rPr>
      </w:pP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一、项目信息</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u w:val="single"/>
          <w:lang w:val="en-US" w:eastAsia="zh-CN"/>
        </w:rPr>
        <w:t xml:space="preserve"> </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247" w:afterLines="50" w:line="530" w:lineRule="exact"/>
        <w:ind w:firstLine="560" w:firstLineChars="200"/>
        <w:textAlignment w:val="auto"/>
        <w:rPr>
          <w:rFonts w:hint="eastAsia"/>
          <w:b w:val="0"/>
          <w:bCs w:val="0"/>
        </w:rPr>
      </w:pPr>
      <w:r>
        <w:rPr>
          <w:rFonts w:hint="eastAsia"/>
          <w:b w:val="0"/>
          <w:bCs w:val="0"/>
        </w:rPr>
        <w:t>二、合同标的及金额</w:t>
      </w:r>
    </w:p>
    <w:tbl>
      <w:tblPr>
        <w:tblStyle w:val="12"/>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1285"/>
        <w:gridCol w:w="2220"/>
        <w:gridCol w:w="800"/>
        <w:gridCol w:w="730"/>
        <w:gridCol w:w="988"/>
        <w:gridCol w:w="989"/>
        <w:gridCol w:w="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序号</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服务</w:t>
            </w:r>
            <w:r>
              <w:rPr>
                <w:rFonts w:hint="eastAsia" w:ascii="仿宋_GB2312" w:hAnsi="仿宋_GB2312" w:eastAsia="仿宋_GB2312" w:cs="仿宋_GB2312"/>
                <w:bCs/>
                <w:spacing w:val="-4"/>
                <w:sz w:val="21"/>
                <w:szCs w:val="21"/>
              </w:rPr>
              <w:t>名称</w:t>
            </w: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质量技术标准</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计量</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单位</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数量</w:t>
            </w: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价格</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小计</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1</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91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lang w:eastAsia="zh-CN"/>
              </w:rPr>
              <w:t>合</w:t>
            </w:r>
            <w:r>
              <w:rPr>
                <w:rFonts w:hint="eastAsia" w:cs="仿宋_GB2312"/>
                <w:bCs/>
                <w:spacing w:val="-4"/>
                <w:sz w:val="21"/>
                <w:szCs w:val="21"/>
                <w:lang w:val="en-US" w:eastAsia="zh-CN"/>
              </w:rPr>
              <w:t xml:space="preserve">  </w:t>
            </w:r>
            <w:r>
              <w:rPr>
                <w:rFonts w:hint="eastAsia" w:ascii="仿宋_GB2312" w:hAnsi="仿宋_GB2312" w:eastAsia="仿宋_GB2312" w:cs="仿宋_GB2312"/>
                <w:bCs/>
                <w:spacing w:val="-4"/>
                <w:sz w:val="21"/>
                <w:szCs w:val="21"/>
                <w:lang w:eastAsia="zh-CN"/>
              </w:rPr>
              <w:t>计</w:t>
            </w: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600"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both"/>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合同金额</w:t>
            </w:r>
            <w:r>
              <w:rPr>
                <w:rFonts w:hint="eastAsia" w:ascii="仿宋_GB2312" w:hAnsi="仿宋_GB2312" w:eastAsia="仿宋_GB2312" w:cs="仿宋_GB2312"/>
                <w:bCs/>
                <w:spacing w:val="-4"/>
                <w:sz w:val="21"/>
                <w:szCs w:val="21"/>
              </w:rPr>
              <w:t>（人民币大写）：</w:t>
            </w:r>
            <w:r>
              <w:rPr>
                <w:rFonts w:hint="eastAsia" w:ascii="仿宋_GB2312" w:hAnsi="仿宋_GB2312" w:eastAsia="仿宋_GB2312" w:cs="仿宋_GB2312"/>
                <w:bCs/>
                <w:sz w:val="21"/>
                <w:szCs w:val="21"/>
                <w:u w:val="single"/>
              </w:rPr>
              <w:t xml:space="preserve">             </w:t>
            </w:r>
            <w:r>
              <w:rPr>
                <w:rFonts w:hint="eastAsia" w:cs="仿宋_GB2312"/>
                <w:bCs/>
                <w:sz w:val="21"/>
                <w:szCs w:val="21"/>
                <w:u w:val="single"/>
                <w:lang w:val="en-US" w:eastAsia="zh-CN"/>
              </w:rPr>
              <w:t xml:space="preserve">         </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pacing w:val="-4"/>
                <w:sz w:val="21"/>
                <w:szCs w:val="21"/>
              </w:rPr>
              <w:t>元</w:t>
            </w:r>
            <w:r>
              <w:rPr>
                <w:rFonts w:hint="eastAsia" w:ascii="仿宋_GB2312" w:hAnsi="仿宋_GB2312" w:eastAsia="仿宋_GB2312" w:cs="仿宋_GB2312"/>
                <w:bCs/>
                <w:sz w:val="21"/>
                <w:szCs w:val="21"/>
              </w:rPr>
              <w:t xml:space="preserve">      （小写）：</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ascii="仿宋_GB2312" w:hAnsi="仿宋_GB2312" w:eastAsia="仿宋_GB2312" w:cs="仿宋_GB2312"/>
                <w:bCs/>
                <w:sz w:val="21"/>
                <w:szCs w:val="21"/>
                <w:u w:val="single"/>
              </w:rPr>
              <w:t xml:space="preserve">             </w:t>
            </w:r>
          </w:p>
        </w:tc>
      </w:tr>
    </w:tbl>
    <w:p>
      <w:pPr>
        <w:pStyle w:val="2"/>
        <w:keepNext w:val="0"/>
        <w:keepLines w:val="0"/>
        <w:pageBreakBefore w:val="0"/>
        <w:widowControl w:val="0"/>
        <w:kinsoku/>
        <w:wordWrap/>
        <w:overflowPunct/>
        <w:topLinePunct w:val="0"/>
        <w:autoSpaceDE/>
        <w:autoSpaceDN/>
        <w:bidi w:val="0"/>
        <w:adjustRightInd w:val="0"/>
        <w:snapToGrid/>
        <w:spacing w:before="247" w:beforeLines="50"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备注：</w:t>
      </w:r>
      <w:r>
        <w:rPr>
          <w:rFonts w:hint="eastAsia" w:ascii="仿宋" w:hAnsi="仿宋" w:eastAsia="仿宋_GB2312"/>
          <w:sz w:val="28"/>
          <w:szCs w:val="28"/>
          <w:u w:val="single"/>
        </w:rPr>
        <w:t xml:space="preserve"> </w:t>
      </w:r>
      <w:r>
        <w:rPr>
          <w:rFonts w:ascii="仿宋" w:hAnsi="仿宋" w:eastAsia="仿宋_GB2312"/>
          <w:sz w:val="28"/>
          <w:szCs w:val="28"/>
          <w:u w:val="single"/>
        </w:rPr>
        <w:t xml:space="preserve">                 </w:t>
      </w:r>
      <w:r>
        <w:rPr>
          <w:rFonts w:hint="eastAsia" w:ascii="仿宋" w:hAnsi="仿宋" w:eastAsia="仿宋_GB2312"/>
          <w:sz w:val="28"/>
          <w:szCs w:val="28"/>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黑体" w:hAnsi="黑体"/>
          <w:b w:val="0"/>
          <w:bCs w:val="0"/>
        </w:rPr>
      </w:pPr>
      <w:r>
        <w:rPr>
          <w:rFonts w:hint="eastAsia" w:ascii="黑体" w:hAnsi="黑体"/>
          <w:b w:val="0"/>
          <w:bCs w:val="0"/>
        </w:rPr>
        <w:t>三、合同履行的时间、地点及方式</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cs="宋体"/>
          <w:bCs/>
          <w:sz w:val="28"/>
          <w:szCs w:val="28"/>
        </w:rPr>
        <w:t>（一）</w:t>
      </w:r>
      <w:r>
        <w:rPr>
          <w:rFonts w:hint="eastAsia" w:ascii="仿宋_GB2312" w:hAnsi="仿宋_GB2312" w:eastAsia="仿宋_GB2312" w:cs="仿宋_GB2312"/>
          <w:bCs/>
          <w:sz w:val="28"/>
          <w:szCs w:val="28"/>
        </w:rPr>
        <w:t>服务实施的期限：</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年</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月</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日至</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年</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月</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cs="宋体"/>
          <w:bCs/>
          <w:sz w:val="28"/>
          <w:szCs w:val="28"/>
        </w:rPr>
        <w:t>（二）</w:t>
      </w:r>
      <w:r>
        <w:rPr>
          <w:rFonts w:hint="eastAsia" w:ascii="仿宋_GB2312" w:hAnsi="仿宋_GB2312" w:eastAsia="仿宋_GB2312" w:cs="仿宋_GB2312"/>
          <w:bCs/>
          <w:sz w:val="28"/>
          <w:szCs w:val="28"/>
        </w:rPr>
        <w:t>服务实施的地域范围：</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cs="宋体"/>
          <w:bCs/>
          <w:sz w:val="28"/>
          <w:szCs w:val="28"/>
        </w:rPr>
      </w:pPr>
      <w:r>
        <w:rPr>
          <w:rFonts w:hint="eastAsia" w:ascii="仿宋" w:hAnsi="仿宋" w:eastAsia="仿宋_GB2312" w:cs="宋体"/>
          <w:bCs/>
          <w:sz w:val="28"/>
          <w:szCs w:val="28"/>
        </w:rPr>
        <w:t>（三）合同履行的方式</w:t>
      </w:r>
      <w:r>
        <w:rPr>
          <w:rFonts w:hint="eastAsia" w:ascii="仿宋_GB2312" w:hAnsi="仿宋_GB2312" w:eastAsia="仿宋_GB2312" w:cs="仿宋_GB2312"/>
          <w:bCs/>
          <w:sz w:val="28"/>
          <w:szCs w:val="28"/>
        </w:rPr>
        <w:t>：</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黑体" w:hAnsi="黑体"/>
          <w:b w:val="0"/>
          <w:bCs w:val="0"/>
        </w:rPr>
      </w:pPr>
      <w:r>
        <w:rPr>
          <w:rFonts w:hint="eastAsia" w:ascii="黑体" w:hAnsi="黑体"/>
          <w:b w:val="0"/>
          <w:bCs w:val="0"/>
        </w:rPr>
        <w:t>四、</w:t>
      </w:r>
      <w:bookmarkStart w:id="0" w:name="_Hlk129351178"/>
      <w:r>
        <w:rPr>
          <w:rFonts w:hint="eastAsia" w:ascii="黑体" w:hAnsi="黑体"/>
          <w:b w:val="0"/>
          <w:bCs w:val="0"/>
        </w:rPr>
        <w:t>应用场景</w:t>
      </w:r>
      <w:bookmarkEnd w:id="0"/>
      <w:r>
        <w:rPr>
          <w:rFonts w:hint="eastAsia" w:ascii="黑体" w:hAnsi="黑体"/>
          <w:b w:val="0"/>
          <w:bCs w:val="0"/>
        </w:rPr>
        <w:t>、</w:t>
      </w:r>
      <w:bookmarkStart w:id="1" w:name="_Hlk129351232"/>
      <w:r>
        <w:rPr>
          <w:rFonts w:hint="eastAsia" w:ascii="黑体" w:hAnsi="黑体"/>
          <w:b w:val="0"/>
          <w:bCs w:val="0"/>
        </w:rPr>
        <w:t>服务内容和标准</w:t>
      </w:r>
      <w:bookmarkEnd w:id="1"/>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□（一）合同的应用场景：</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（二）服务实施的内容：</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u w:val="single"/>
        </w:rPr>
      </w:pPr>
      <w:r>
        <w:rPr>
          <w:rFonts w:hint="eastAsia" w:ascii="仿宋_GB2312" w:hAnsi="仿宋_GB2312" w:eastAsia="仿宋_GB2312" w:cs="仿宋_GB2312"/>
          <w:bCs/>
          <w:sz w:val="28"/>
          <w:szCs w:val="28"/>
        </w:rPr>
        <w:t>（三）服务标准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1.乙方应当保证本项目的维护满足甲方需求，并完全符合</w:t>
      </w:r>
      <w:r>
        <w:rPr>
          <w:rFonts w:hint="eastAsia" w:cs="仿宋_GB2312"/>
          <w:bCs/>
          <w:sz w:val="28"/>
          <w:szCs w:val="28"/>
          <w:lang w:eastAsia="zh-CN"/>
        </w:rPr>
        <w:t>合同约定</w:t>
      </w:r>
      <w:r>
        <w:rPr>
          <w:rFonts w:hint="eastAsia" w:ascii="仿宋_GB2312" w:hAnsi="仿宋_GB2312" w:eastAsia="仿宋_GB2312" w:cs="仿宋_GB2312"/>
          <w:bCs/>
          <w:sz w:val="28"/>
          <w:szCs w:val="28"/>
        </w:rPr>
        <w:t>质量、技术和性能的要求。所有第三方技术或产品应当得到合法的使用授权。</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□2.服务人员要求：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（1）本项目配备的总岗位人数不少于</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人。</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（2）分工种或岗位人员配备要求：</w:t>
      </w:r>
    </w:p>
    <w:p>
      <w:pPr>
        <w:keepNext w:val="0"/>
        <w:keepLines w:val="0"/>
        <w:pageBreakBefore w:val="0"/>
        <w:widowControl w:val="0"/>
        <w:kinsoku/>
        <w:wordWrap/>
        <w:overflowPunct/>
        <w:topLinePunct w:val="0"/>
        <w:autoSpaceDE/>
        <w:autoSpaceDN/>
        <w:bidi w:val="0"/>
        <w:adjustRightInd w:val="0"/>
        <w:snapToGrid/>
        <w:spacing w:after="247" w:afterLines="50" w:line="530" w:lineRule="exact"/>
        <w:ind w:left="0" w:leftChars="0" w:right="0" w:rightChars="0" w:firstLine="560" w:firstLineChars="200"/>
        <w:jc w:val="both"/>
        <w:textAlignment w:val="auto"/>
        <w:outlineLvl w:val="9"/>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具体列表如下：</w:t>
      </w:r>
    </w:p>
    <w:tbl>
      <w:tblPr>
        <w:tblStyle w:val="12"/>
        <w:tblW w:w="8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0"/>
        <w:gridCol w:w="1316"/>
        <w:gridCol w:w="3865"/>
        <w:gridCol w:w="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80" w:type="dxa"/>
            <w:vAlign w:val="center"/>
          </w:tcPr>
          <w:p>
            <w:pPr>
              <w:keepNext w:val="0"/>
              <w:keepLines w:val="0"/>
              <w:pageBreakBefore w:val="0"/>
              <w:widowControl w:val="0"/>
              <w:kinsoku/>
              <w:wordWrap/>
              <w:overflowPunct/>
              <w:topLinePunct w:val="0"/>
              <w:autoSpaceDE/>
              <w:autoSpaceDN/>
              <w:bidi w:val="0"/>
              <w:adjustRightInd w:val="0"/>
              <w:snapToGrid/>
              <w:spacing w:line="300" w:lineRule="exact"/>
              <w:ind w:right="0" w:rightChars="0"/>
              <w:jc w:val="center"/>
              <w:textAlignment w:val="auto"/>
              <w:outlineLvl w:val="9"/>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工种或岗位</w:t>
            </w:r>
          </w:p>
        </w:tc>
        <w:tc>
          <w:tcPr>
            <w:tcW w:w="1316" w:type="dxa"/>
            <w:vAlign w:val="center"/>
          </w:tcPr>
          <w:p>
            <w:pPr>
              <w:keepNext w:val="0"/>
              <w:keepLines w:val="0"/>
              <w:pageBreakBefore w:val="0"/>
              <w:widowControl w:val="0"/>
              <w:kinsoku/>
              <w:wordWrap/>
              <w:overflowPunct/>
              <w:topLinePunct w:val="0"/>
              <w:autoSpaceDE/>
              <w:autoSpaceDN/>
              <w:bidi w:val="0"/>
              <w:adjustRightInd w:val="0"/>
              <w:snapToGrid/>
              <w:spacing w:line="300" w:lineRule="exact"/>
              <w:ind w:right="0" w:rightChars="0"/>
              <w:jc w:val="center"/>
              <w:textAlignment w:val="auto"/>
              <w:outlineLvl w:val="9"/>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人数</w:t>
            </w:r>
          </w:p>
        </w:tc>
        <w:tc>
          <w:tcPr>
            <w:tcW w:w="3865" w:type="dxa"/>
            <w:vAlign w:val="center"/>
          </w:tcPr>
          <w:p>
            <w:pPr>
              <w:keepNext w:val="0"/>
              <w:keepLines w:val="0"/>
              <w:pageBreakBefore w:val="0"/>
              <w:widowControl w:val="0"/>
              <w:kinsoku/>
              <w:wordWrap/>
              <w:overflowPunct/>
              <w:topLinePunct w:val="0"/>
              <w:autoSpaceDE/>
              <w:autoSpaceDN/>
              <w:bidi w:val="0"/>
              <w:adjustRightInd w:val="0"/>
              <w:snapToGrid/>
              <w:spacing w:line="300" w:lineRule="exact"/>
              <w:ind w:right="0" w:rightChars="0"/>
              <w:jc w:val="center"/>
              <w:textAlignment w:val="auto"/>
              <w:outlineLvl w:val="9"/>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条件</w:t>
            </w:r>
          </w:p>
        </w:tc>
        <w:tc>
          <w:tcPr>
            <w:tcW w:w="979" w:type="dxa"/>
            <w:vAlign w:val="center"/>
          </w:tcPr>
          <w:p>
            <w:pPr>
              <w:keepNext w:val="0"/>
              <w:keepLines w:val="0"/>
              <w:pageBreakBefore w:val="0"/>
              <w:widowControl w:val="0"/>
              <w:kinsoku/>
              <w:wordWrap/>
              <w:overflowPunct/>
              <w:topLinePunct w:val="0"/>
              <w:autoSpaceDE/>
              <w:autoSpaceDN/>
              <w:bidi w:val="0"/>
              <w:adjustRightInd w:val="0"/>
              <w:snapToGrid/>
              <w:spacing w:line="300" w:lineRule="exact"/>
              <w:ind w:right="0" w:rightChars="0"/>
              <w:jc w:val="center"/>
              <w:textAlignment w:val="auto"/>
              <w:outlineLvl w:val="9"/>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80" w:type="dxa"/>
            <w:vAlign w:val="center"/>
          </w:tcPr>
          <w:p>
            <w:pPr>
              <w:keepNext w:val="0"/>
              <w:keepLines w:val="0"/>
              <w:pageBreakBefore w:val="0"/>
              <w:widowControl w:val="0"/>
              <w:kinsoku/>
              <w:wordWrap/>
              <w:overflowPunct/>
              <w:topLinePunct w:val="0"/>
              <w:autoSpaceDE/>
              <w:autoSpaceDN/>
              <w:bidi w:val="0"/>
              <w:adjustRightInd w:val="0"/>
              <w:snapToGrid/>
              <w:spacing w:line="300" w:lineRule="exact"/>
              <w:ind w:right="0" w:rightChars="0"/>
              <w:jc w:val="both"/>
              <w:textAlignment w:val="auto"/>
              <w:outlineLvl w:val="9"/>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项目经理</w:t>
            </w:r>
          </w:p>
        </w:tc>
        <w:tc>
          <w:tcPr>
            <w:tcW w:w="1316" w:type="dxa"/>
            <w:vAlign w:val="center"/>
          </w:tcPr>
          <w:p>
            <w:pPr>
              <w:keepNext w:val="0"/>
              <w:keepLines w:val="0"/>
              <w:pageBreakBefore w:val="0"/>
              <w:widowControl w:val="0"/>
              <w:kinsoku/>
              <w:wordWrap/>
              <w:overflowPunct/>
              <w:topLinePunct w:val="0"/>
              <w:autoSpaceDE/>
              <w:autoSpaceDN/>
              <w:bidi w:val="0"/>
              <w:adjustRightInd w:val="0"/>
              <w:snapToGrid/>
              <w:spacing w:line="300" w:lineRule="exact"/>
              <w:ind w:right="0" w:rightChars="0"/>
              <w:jc w:val="center"/>
              <w:textAlignment w:val="auto"/>
              <w:outlineLvl w:val="9"/>
              <w:rPr>
                <w:rFonts w:hint="eastAsia" w:ascii="仿宋_GB2312" w:hAnsi="仿宋_GB2312" w:eastAsia="仿宋_GB2312" w:cs="仿宋_GB2312"/>
                <w:bCs/>
                <w:sz w:val="21"/>
                <w:szCs w:val="21"/>
              </w:rPr>
            </w:pPr>
          </w:p>
        </w:tc>
        <w:tc>
          <w:tcPr>
            <w:tcW w:w="3865" w:type="dxa"/>
            <w:vAlign w:val="center"/>
          </w:tcPr>
          <w:p>
            <w:pPr>
              <w:keepNext w:val="0"/>
              <w:keepLines w:val="0"/>
              <w:pageBreakBefore w:val="0"/>
              <w:widowControl w:val="0"/>
              <w:kinsoku/>
              <w:wordWrap/>
              <w:overflowPunct/>
              <w:topLinePunct w:val="0"/>
              <w:autoSpaceDE/>
              <w:autoSpaceDN/>
              <w:bidi w:val="0"/>
              <w:adjustRightInd w:val="0"/>
              <w:snapToGrid/>
              <w:spacing w:line="300" w:lineRule="exact"/>
              <w:ind w:right="0" w:rightChars="0"/>
              <w:jc w:val="center"/>
              <w:textAlignment w:val="auto"/>
              <w:outlineLvl w:val="9"/>
              <w:rPr>
                <w:rFonts w:hint="eastAsia" w:ascii="仿宋_GB2312" w:hAnsi="仿宋_GB2312" w:eastAsia="仿宋_GB2312" w:cs="仿宋_GB2312"/>
                <w:bCs/>
                <w:sz w:val="21"/>
                <w:szCs w:val="21"/>
              </w:rPr>
            </w:pPr>
          </w:p>
        </w:tc>
        <w:tc>
          <w:tcPr>
            <w:tcW w:w="979" w:type="dxa"/>
            <w:vAlign w:val="center"/>
          </w:tcPr>
          <w:p>
            <w:pPr>
              <w:keepNext w:val="0"/>
              <w:keepLines w:val="0"/>
              <w:pageBreakBefore w:val="0"/>
              <w:widowControl w:val="0"/>
              <w:kinsoku/>
              <w:wordWrap/>
              <w:overflowPunct/>
              <w:topLinePunct w:val="0"/>
              <w:autoSpaceDE/>
              <w:autoSpaceDN/>
              <w:bidi w:val="0"/>
              <w:adjustRightInd w:val="0"/>
              <w:snapToGrid/>
              <w:spacing w:line="300" w:lineRule="exact"/>
              <w:ind w:right="0" w:rightChars="0"/>
              <w:jc w:val="center"/>
              <w:textAlignment w:val="auto"/>
              <w:outlineLvl w:val="9"/>
              <w:rPr>
                <w:rFonts w:hint="eastAsia" w:ascii="仿宋_GB2312" w:hAnsi="仿宋_GB2312" w:eastAsia="仿宋_GB2312" w:cs="仿宋_GB2312"/>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80" w:type="dxa"/>
            <w:vAlign w:val="center"/>
          </w:tcPr>
          <w:p>
            <w:pPr>
              <w:keepNext w:val="0"/>
              <w:keepLines w:val="0"/>
              <w:pageBreakBefore w:val="0"/>
              <w:widowControl w:val="0"/>
              <w:kinsoku/>
              <w:wordWrap/>
              <w:overflowPunct/>
              <w:topLinePunct w:val="0"/>
              <w:autoSpaceDE/>
              <w:autoSpaceDN/>
              <w:bidi w:val="0"/>
              <w:adjustRightInd w:val="0"/>
              <w:snapToGrid/>
              <w:spacing w:line="300" w:lineRule="exact"/>
              <w:ind w:right="0" w:rightChars="0"/>
              <w:jc w:val="both"/>
              <w:textAlignment w:val="auto"/>
              <w:outlineLvl w:val="9"/>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主要管理团队</w:t>
            </w:r>
          </w:p>
        </w:tc>
        <w:tc>
          <w:tcPr>
            <w:tcW w:w="1316" w:type="dxa"/>
            <w:vAlign w:val="center"/>
          </w:tcPr>
          <w:p>
            <w:pPr>
              <w:keepNext w:val="0"/>
              <w:keepLines w:val="0"/>
              <w:pageBreakBefore w:val="0"/>
              <w:widowControl w:val="0"/>
              <w:kinsoku/>
              <w:wordWrap/>
              <w:overflowPunct/>
              <w:topLinePunct w:val="0"/>
              <w:autoSpaceDE/>
              <w:autoSpaceDN/>
              <w:bidi w:val="0"/>
              <w:adjustRightInd w:val="0"/>
              <w:snapToGrid/>
              <w:spacing w:line="300" w:lineRule="exact"/>
              <w:ind w:right="0" w:rightChars="0"/>
              <w:jc w:val="center"/>
              <w:textAlignment w:val="auto"/>
              <w:outlineLvl w:val="9"/>
              <w:rPr>
                <w:rFonts w:hint="eastAsia" w:ascii="仿宋_GB2312" w:hAnsi="仿宋_GB2312" w:eastAsia="仿宋_GB2312" w:cs="仿宋_GB2312"/>
                <w:bCs/>
                <w:sz w:val="21"/>
                <w:szCs w:val="21"/>
              </w:rPr>
            </w:pPr>
          </w:p>
        </w:tc>
        <w:tc>
          <w:tcPr>
            <w:tcW w:w="3865" w:type="dxa"/>
            <w:vAlign w:val="center"/>
          </w:tcPr>
          <w:p>
            <w:pPr>
              <w:keepNext w:val="0"/>
              <w:keepLines w:val="0"/>
              <w:pageBreakBefore w:val="0"/>
              <w:widowControl w:val="0"/>
              <w:kinsoku/>
              <w:wordWrap/>
              <w:overflowPunct/>
              <w:topLinePunct w:val="0"/>
              <w:autoSpaceDE/>
              <w:autoSpaceDN/>
              <w:bidi w:val="0"/>
              <w:adjustRightInd w:val="0"/>
              <w:snapToGrid/>
              <w:spacing w:line="300" w:lineRule="exact"/>
              <w:ind w:right="0" w:rightChars="0"/>
              <w:jc w:val="center"/>
              <w:textAlignment w:val="auto"/>
              <w:outlineLvl w:val="9"/>
              <w:rPr>
                <w:rFonts w:hint="eastAsia" w:ascii="仿宋_GB2312" w:hAnsi="仿宋_GB2312" w:eastAsia="仿宋_GB2312" w:cs="仿宋_GB2312"/>
                <w:bCs/>
                <w:sz w:val="21"/>
                <w:szCs w:val="21"/>
              </w:rPr>
            </w:pPr>
          </w:p>
        </w:tc>
        <w:tc>
          <w:tcPr>
            <w:tcW w:w="979" w:type="dxa"/>
            <w:vAlign w:val="center"/>
          </w:tcPr>
          <w:p>
            <w:pPr>
              <w:keepNext w:val="0"/>
              <w:keepLines w:val="0"/>
              <w:pageBreakBefore w:val="0"/>
              <w:widowControl w:val="0"/>
              <w:kinsoku/>
              <w:wordWrap/>
              <w:overflowPunct/>
              <w:topLinePunct w:val="0"/>
              <w:autoSpaceDE/>
              <w:autoSpaceDN/>
              <w:bidi w:val="0"/>
              <w:adjustRightInd w:val="0"/>
              <w:snapToGrid/>
              <w:spacing w:line="300" w:lineRule="exact"/>
              <w:ind w:right="0" w:rightChars="0"/>
              <w:jc w:val="center"/>
              <w:textAlignment w:val="auto"/>
              <w:outlineLvl w:val="9"/>
              <w:rPr>
                <w:rFonts w:hint="eastAsia" w:ascii="仿宋_GB2312" w:hAnsi="仿宋_GB2312" w:eastAsia="仿宋_GB2312" w:cs="仿宋_GB2312"/>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80" w:type="dxa"/>
            <w:vAlign w:val="center"/>
          </w:tcPr>
          <w:p>
            <w:pPr>
              <w:keepNext w:val="0"/>
              <w:keepLines w:val="0"/>
              <w:pageBreakBefore w:val="0"/>
              <w:widowControl w:val="0"/>
              <w:kinsoku/>
              <w:wordWrap/>
              <w:overflowPunct/>
              <w:topLinePunct w:val="0"/>
              <w:autoSpaceDE/>
              <w:autoSpaceDN/>
              <w:bidi w:val="0"/>
              <w:adjustRightInd w:val="0"/>
              <w:snapToGrid/>
              <w:spacing w:line="300" w:lineRule="exact"/>
              <w:ind w:right="0" w:rightChars="0"/>
              <w:jc w:val="both"/>
              <w:textAlignment w:val="auto"/>
              <w:outlineLvl w:val="9"/>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w:t>
            </w:r>
          </w:p>
        </w:tc>
        <w:tc>
          <w:tcPr>
            <w:tcW w:w="1316" w:type="dxa"/>
            <w:vAlign w:val="center"/>
          </w:tcPr>
          <w:p>
            <w:pPr>
              <w:keepNext w:val="0"/>
              <w:keepLines w:val="0"/>
              <w:pageBreakBefore w:val="0"/>
              <w:widowControl w:val="0"/>
              <w:kinsoku/>
              <w:wordWrap/>
              <w:overflowPunct/>
              <w:topLinePunct w:val="0"/>
              <w:autoSpaceDE/>
              <w:autoSpaceDN/>
              <w:bidi w:val="0"/>
              <w:adjustRightInd w:val="0"/>
              <w:snapToGrid/>
              <w:spacing w:line="300" w:lineRule="exact"/>
              <w:ind w:right="0" w:rightChars="0"/>
              <w:jc w:val="center"/>
              <w:textAlignment w:val="auto"/>
              <w:outlineLvl w:val="9"/>
              <w:rPr>
                <w:rFonts w:hint="eastAsia" w:ascii="仿宋_GB2312" w:hAnsi="仿宋_GB2312" w:eastAsia="仿宋_GB2312" w:cs="仿宋_GB2312"/>
                <w:bCs/>
                <w:sz w:val="21"/>
                <w:szCs w:val="21"/>
              </w:rPr>
            </w:pPr>
          </w:p>
        </w:tc>
        <w:tc>
          <w:tcPr>
            <w:tcW w:w="3865" w:type="dxa"/>
            <w:vAlign w:val="center"/>
          </w:tcPr>
          <w:p>
            <w:pPr>
              <w:keepNext w:val="0"/>
              <w:keepLines w:val="0"/>
              <w:pageBreakBefore w:val="0"/>
              <w:widowControl w:val="0"/>
              <w:kinsoku/>
              <w:wordWrap/>
              <w:overflowPunct/>
              <w:topLinePunct w:val="0"/>
              <w:autoSpaceDE/>
              <w:autoSpaceDN/>
              <w:bidi w:val="0"/>
              <w:adjustRightInd w:val="0"/>
              <w:snapToGrid/>
              <w:spacing w:line="300" w:lineRule="exact"/>
              <w:ind w:right="0" w:rightChars="0"/>
              <w:jc w:val="center"/>
              <w:textAlignment w:val="auto"/>
              <w:outlineLvl w:val="9"/>
              <w:rPr>
                <w:rFonts w:hint="eastAsia" w:ascii="仿宋_GB2312" w:hAnsi="仿宋_GB2312" w:eastAsia="仿宋_GB2312" w:cs="仿宋_GB2312"/>
                <w:bCs/>
                <w:sz w:val="21"/>
                <w:szCs w:val="21"/>
              </w:rPr>
            </w:pPr>
          </w:p>
        </w:tc>
        <w:tc>
          <w:tcPr>
            <w:tcW w:w="979" w:type="dxa"/>
            <w:vAlign w:val="center"/>
          </w:tcPr>
          <w:p>
            <w:pPr>
              <w:keepNext w:val="0"/>
              <w:keepLines w:val="0"/>
              <w:pageBreakBefore w:val="0"/>
              <w:widowControl w:val="0"/>
              <w:kinsoku/>
              <w:wordWrap/>
              <w:overflowPunct/>
              <w:topLinePunct w:val="0"/>
              <w:autoSpaceDE/>
              <w:autoSpaceDN/>
              <w:bidi w:val="0"/>
              <w:adjustRightInd w:val="0"/>
              <w:snapToGrid/>
              <w:spacing w:line="300" w:lineRule="exact"/>
              <w:ind w:right="0" w:rightChars="0"/>
              <w:jc w:val="center"/>
              <w:textAlignment w:val="auto"/>
              <w:outlineLvl w:val="9"/>
              <w:rPr>
                <w:rFonts w:hint="eastAsia" w:ascii="仿宋_GB2312" w:hAnsi="仿宋_GB2312" w:eastAsia="仿宋_GB2312" w:cs="仿宋_GB2312"/>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80" w:type="dxa"/>
            <w:vAlign w:val="center"/>
          </w:tcPr>
          <w:p>
            <w:pPr>
              <w:keepNext w:val="0"/>
              <w:keepLines w:val="0"/>
              <w:pageBreakBefore w:val="0"/>
              <w:widowControl w:val="0"/>
              <w:kinsoku/>
              <w:wordWrap/>
              <w:overflowPunct/>
              <w:topLinePunct w:val="0"/>
              <w:autoSpaceDE/>
              <w:autoSpaceDN/>
              <w:bidi w:val="0"/>
              <w:adjustRightInd w:val="0"/>
              <w:snapToGrid/>
              <w:spacing w:line="300" w:lineRule="exact"/>
              <w:ind w:right="0" w:rightChars="0"/>
              <w:jc w:val="both"/>
              <w:textAlignment w:val="auto"/>
              <w:outlineLvl w:val="9"/>
              <w:rPr>
                <w:rFonts w:hint="eastAsia" w:ascii="仿宋_GB2312" w:hAnsi="仿宋_GB2312" w:eastAsia="仿宋_GB2312" w:cs="仿宋_GB2312"/>
                <w:bCs/>
                <w:sz w:val="21"/>
                <w:szCs w:val="21"/>
              </w:rPr>
            </w:pPr>
          </w:p>
        </w:tc>
        <w:tc>
          <w:tcPr>
            <w:tcW w:w="1316" w:type="dxa"/>
            <w:vAlign w:val="center"/>
          </w:tcPr>
          <w:p>
            <w:pPr>
              <w:keepNext w:val="0"/>
              <w:keepLines w:val="0"/>
              <w:pageBreakBefore w:val="0"/>
              <w:widowControl w:val="0"/>
              <w:kinsoku/>
              <w:wordWrap/>
              <w:overflowPunct/>
              <w:topLinePunct w:val="0"/>
              <w:autoSpaceDE/>
              <w:autoSpaceDN/>
              <w:bidi w:val="0"/>
              <w:adjustRightInd w:val="0"/>
              <w:snapToGrid/>
              <w:spacing w:line="300" w:lineRule="exact"/>
              <w:ind w:right="0" w:rightChars="0"/>
              <w:jc w:val="center"/>
              <w:textAlignment w:val="auto"/>
              <w:outlineLvl w:val="9"/>
              <w:rPr>
                <w:rFonts w:hint="eastAsia" w:ascii="仿宋_GB2312" w:hAnsi="仿宋_GB2312" w:eastAsia="仿宋_GB2312" w:cs="仿宋_GB2312"/>
                <w:bCs/>
                <w:sz w:val="21"/>
                <w:szCs w:val="21"/>
              </w:rPr>
            </w:pPr>
          </w:p>
        </w:tc>
        <w:tc>
          <w:tcPr>
            <w:tcW w:w="3865" w:type="dxa"/>
            <w:vAlign w:val="center"/>
          </w:tcPr>
          <w:p>
            <w:pPr>
              <w:keepNext w:val="0"/>
              <w:keepLines w:val="0"/>
              <w:pageBreakBefore w:val="0"/>
              <w:widowControl w:val="0"/>
              <w:kinsoku/>
              <w:wordWrap/>
              <w:overflowPunct/>
              <w:topLinePunct w:val="0"/>
              <w:autoSpaceDE/>
              <w:autoSpaceDN/>
              <w:bidi w:val="0"/>
              <w:adjustRightInd w:val="0"/>
              <w:snapToGrid/>
              <w:spacing w:line="300" w:lineRule="exact"/>
              <w:ind w:right="0" w:rightChars="0"/>
              <w:jc w:val="center"/>
              <w:textAlignment w:val="auto"/>
              <w:outlineLvl w:val="9"/>
              <w:rPr>
                <w:rFonts w:hint="eastAsia" w:ascii="仿宋_GB2312" w:hAnsi="仿宋_GB2312" w:eastAsia="仿宋_GB2312" w:cs="仿宋_GB2312"/>
                <w:bCs/>
                <w:sz w:val="21"/>
                <w:szCs w:val="21"/>
              </w:rPr>
            </w:pPr>
          </w:p>
        </w:tc>
        <w:tc>
          <w:tcPr>
            <w:tcW w:w="979" w:type="dxa"/>
            <w:vAlign w:val="center"/>
          </w:tcPr>
          <w:p>
            <w:pPr>
              <w:keepNext w:val="0"/>
              <w:keepLines w:val="0"/>
              <w:pageBreakBefore w:val="0"/>
              <w:widowControl w:val="0"/>
              <w:kinsoku/>
              <w:wordWrap/>
              <w:overflowPunct/>
              <w:topLinePunct w:val="0"/>
              <w:autoSpaceDE/>
              <w:autoSpaceDN/>
              <w:bidi w:val="0"/>
              <w:adjustRightInd w:val="0"/>
              <w:snapToGrid/>
              <w:spacing w:line="300" w:lineRule="exact"/>
              <w:ind w:right="0" w:rightChars="0"/>
              <w:jc w:val="center"/>
              <w:textAlignment w:val="auto"/>
              <w:outlineLvl w:val="9"/>
              <w:rPr>
                <w:rFonts w:hint="eastAsia" w:ascii="仿宋_GB2312" w:hAnsi="仿宋_GB2312" w:eastAsia="仿宋_GB2312" w:cs="仿宋_GB2312"/>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80" w:type="dxa"/>
            <w:vAlign w:val="center"/>
          </w:tcPr>
          <w:p>
            <w:pPr>
              <w:keepNext w:val="0"/>
              <w:keepLines w:val="0"/>
              <w:pageBreakBefore w:val="0"/>
              <w:widowControl w:val="0"/>
              <w:kinsoku/>
              <w:wordWrap/>
              <w:overflowPunct/>
              <w:topLinePunct w:val="0"/>
              <w:autoSpaceDE/>
              <w:autoSpaceDN/>
              <w:bidi w:val="0"/>
              <w:adjustRightInd w:val="0"/>
              <w:snapToGrid/>
              <w:spacing w:line="300" w:lineRule="exact"/>
              <w:ind w:right="0" w:rightChars="0"/>
              <w:jc w:val="both"/>
              <w:textAlignment w:val="auto"/>
              <w:outlineLvl w:val="9"/>
              <w:rPr>
                <w:rFonts w:hint="eastAsia" w:ascii="仿宋_GB2312" w:hAnsi="仿宋_GB2312" w:eastAsia="仿宋_GB2312" w:cs="仿宋_GB2312"/>
                <w:bCs/>
                <w:sz w:val="21"/>
                <w:szCs w:val="21"/>
              </w:rPr>
            </w:pPr>
          </w:p>
        </w:tc>
        <w:tc>
          <w:tcPr>
            <w:tcW w:w="1316" w:type="dxa"/>
            <w:vAlign w:val="center"/>
          </w:tcPr>
          <w:p>
            <w:pPr>
              <w:keepNext w:val="0"/>
              <w:keepLines w:val="0"/>
              <w:pageBreakBefore w:val="0"/>
              <w:widowControl w:val="0"/>
              <w:kinsoku/>
              <w:wordWrap/>
              <w:overflowPunct/>
              <w:topLinePunct w:val="0"/>
              <w:autoSpaceDE/>
              <w:autoSpaceDN/>
              <w:bidi w:val="0"/>
              <w:adjustRightInd w:val="0"/>
              <w:snapToGrid/>
              <w:spacing w:line="300" w:lineRule="exact"/>
              <w:ind w:right="0" w:rightChars="0"/>
              <w:jc w:val="center"/>
              <w:textAlignment w:val="auto"/>
              <w:outlineLvl w:val="9"/>
              <w:rPr>
                <w:rFonts w:hint="eastAsia" w:ascii="仿宋_GB2312" w:hAnsi="仿宋_GB2312" w:eastAsia="仿宋_GB2312" w:cs="仿宋_GB2312"/>
                <w:bCs/>
                <w:sz w:val="21"/>
                <w:szCs w:val="21"/>
              </w:rPr>
            </w:pPr>
          </w:p>
        </w:tc>
        <w:tc>
          <w:tcPr>
            <w:tcW w:w="3865" w:type="dxa"/>
            <w:vAlign w:val="center"/>
          </w:tcPr>
          <w:p>
            <w:pPr>
              <w:keepNext w:val="0"/>
              <w:keepLines w:val="0"/>
              <w:pageBreakBefore w:val="0"/>
              <w:widowControl w:val="0"/>
              <w:kinsoku/>
              <w:wordWrap/>
              <w:overflowPunct/>
              <w:topLinePunct w:val="0"/>
              <w:autoSpaceDE/>
              <w:autoSpaceDN/>
              <w:bidi w:val="0"/>
              <w:adjustRightInd w:val="0"/>
              <w:snapToGrid/>
              <w:spacing w:line="300" w:lineRule="exact"/>
              <w:ind w:right="0" w:rightChars="0"/>
              <w:jc w:val="center"/>
              <w:textAlignment w:val="auto"/>
              <w:outlineLvl w:val="9"/>
              <w:rPr>
                <w:rFonts w:hint="eastAsia" w:ascii="仿宋_GB2312" w:hAnsi="仿宋_GB2312" w:eastAsia="仿宋_GB2312" w:cs="仿宋_GB2312"/>
                <w:bCs/>
                <w:sz w:val="21"/>
                <w:szCs w:val="21"/>
              </w:rPr>
            </w:pPr>
          </w:p>
        </w:tc>
        <w:tc>
          <w:tcPr>
            <w:tcW w:w="979" w:type="dxa"/>
            <w:vAlign w:val="center"/>
          </w:tcPr>
          <w:p>
            <w:pPr>
              <w:keepNext w:val="0"/>
              <w:keepLines w:val="0"/>
              <w:pageBreakBefore w:val="0"/>
              <w:widowControl w:val="0"/>
              <w:kinsoku/>
              <w:wordWrap/>
              <w:overflowPunct/>
              <w:topLinePunct w:val="0"/>
              <w:autoSpaceDE/>
              <w:autoSpaceDN/>
              <w:bidi w:val="0"/>
              <w:adjustRightInd w:val="0"/>
              <w:snapToGrid/>
              <w:spacing w:line="300" w:lineRule="exact"/>
              <w:ind w:right="0" w:rightChars="0"/>
              <w:jc w:val="center"/>
              <w:textAlignment w:val="auto"/>
              <w:outlineLvl w:val="9"/>
              <w:rPr>
                <w:rFonts w:hint="eastAsia" w:ascii="仿宋_GB2312" w:hAnsi="仿宋_GB2312" w:eastAsia="仿宋_GB2312" w:cs="仿宋_GB2312"/>
                <w:bCs/>
                <w:sz w:val="21"/>
                <w:szCs w:val="21"/>
              </w:rPr>
            </w:pPr>
          </w:p>
        </w:tc>
      </w:tr>
    </w:tbl>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□（3）驻场要求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年</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月</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日，必须</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人驻场。</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年</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月</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日，必须</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人驻场。</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3.劳动安全要求：</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rPr>
        <w:t>（明确劳动安全工作要求及责任主体）</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4.保密工作要求：</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rPr>
        <w:t>（对工作中可能涉及的保密工作提出总体性要求）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cs="宋体"/>
          <w:bCs/>
          <w:sz w:val="28"/>
          <w:szCs w:val="28"/>
        </w:rPr>
      </w:pPr>
      <w:r>
        <w:rPr>
          <w:rFonts w:hint="eastAsia" w:ascii="仿宋_GB2312" w:hAnsi="仿宋_GB2312" w:eastAsia="仿宋_GB2312" w:cs="仿宋_GB2312"/>
          <w:bCs/>
          <w:sz w:val="28"/>
          <w:szCs w:val="28"/>
        </w:rPr>
        <w:t>5.其他：</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rPr>
        <w:t>（上述各项要求之外，根据项目特点提出的其他要求）</w:t>
      </w:r>
    </w:p>
    <w:p>
      <w:pPr>
        <w:keepNext w:val="0"/>
        <w:keepLines w:val="0"/>
        <w:pageBreakBefore w:val="0"/>
        <w:widowControl w:val="0"/>
        <w:kinsoku/>
        <w:wordWrap/>
        <w:overflowPunct/>
        <w:topLinePunct w:val="0"/>
        <w:autoSpaceDE/>
        <w:autoSpaceDN/>
        <w:bidi w:val="0"/>
        <w:adjustRightInd w:val="0"/>
        <w:snapToGrid/>
        <w:spacing w:after="247" w:afterLines="50"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□五、</w:t>
      </w:r>
      <w:bookmarkStart w:id="2" w:name="_Hlk129352073"/>
      <w:r>
        <w:rPr>
          <w:rFonts w:hint="eastAsia" w:ascii="黑体" w:hAnsi="黑体" w:eastAsia="黑体" w:cs="黑体"/>
          <w:bCs/>
          <w:sz w:val="28"/>
          <w:szCs w:val="28"/>
        </w:rPr>
        <w:t>服务实施分期考核内容及标准</w:t>
      </w:r>
      <w:bookmarkEnd w:id="2"/>
    </w:p>
    <w:tbl>
      <w:tblPr>
        <w:tblStyle w:val="13"/>
        <w:tblW w:w="8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2086"/>
        <w:gridCol w:w="2506"/>
        <w:gridCol w:w="2300"/>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208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考核部位或场所</w:t>
            </w:r>
          </w:p>
        </w:tc>
        <w:tc>
          <w:tcPr>
            <w:tcW w:w="250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考核内容</w:t>
            </w:r>
          </w:p>
        </w:tc>
        <w:tc>
          <w:tcPr>
            <w:tcW w:w="230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考核标准</w:t>
            </w: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lang w:val="en-US" w:eastAsia="zh-CN"/>
              </w:rPr>
            </w:pPr>
            <w:r>
              <w:rPr>
                <w:rFonts w:hint="eastAsia" w:cs="仿宋_GB2312"/>
                <w:sz w:val="21"/>
                <w:szCs w:val="21"/>
                <w:lang w:val="en-US" w:eastAsia="zh-CN"/>
              </w:rPr>
              <w:t>1</w:t>
            </w:r>
          </w:p>
        </w:tc>
        <w:tc>
          <w:tcPr>
            <w:tcW w:w="208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50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30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cs="仿宋_GB2312"/>
                <w:sz w:val="21"/>
                <w:szCs w:val="21"/>
                <w:lang w:val="en-US" w:eastAsia="zh-CN"/>
              </w:rPr>
            </w:pPr>
            <w:r>
              <w:rPr>
                <w:rFonts w:hint="eastAsia" w:cs="仿宋_GB2312"/>
                <w:sz w:val="21"/>
                <w:szCs w:val="21"/>
                <w:lang w:val="en-US" w:eastAsia="zh-CN"/>
              </w:rPr>
              <w:t>2</w:t>
            </w:r>
          </w:p>
        </w:tc>
        <w:tc>
          <w:tcPr>
            <w:tcW w:w="208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50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30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cs="仿宋_GB2312"/>
                <w:sz w:val="21"/>
                <w:szCs w:val="21"/>
                <w:lang w:val="en-US" w:eastAsia="zh-CN"/>
              </w:rPr>
            </w:pPr>
            <w:r>
              <w:rPr>
                <w:rFonts w:hint="eastAsia" w:cs="仿宋_GB2312"/>
                <w:sz w:val="21"/>
                <w:szCs w:val="21"/>
                <w:lang w:val="en-US" w:eastAsia="zh-CN"/>
              </w:rPr>
              <w:t>3</w:t>
            </w:r>
          </w:p>
        </w:tc>
        <w:tc>
          <w:tcPr>
            <w:tcW w:w="208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50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30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bCs/>
                <w:spacing w:val="-4"/>
                <w:sz w:val="21"/>
                <w:szCs w:val="21"/>
              </w:rPr>
              <w:t>…</w:t>
            </w:r>
          </w:p>
        </w:tc>
        <w:tc>
          <w:tcPr>
            <w:tcW w:w="208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50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30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r>
    </w:tbl>
    <w:p>
      <w:pPr>
        <w:pStyle w:val="6"/>
        <w:keepNext w:val="0"/>
        <w:keepLines w:val="0"/>
        <w:pageBreakBefore w:val="0"/>
        <w:widowControl w:val="0"/>
        <w:kinsoku/>
        <w:wordWrap/>
        <w:overflowPunct/>
        <w:topLinePunct w:val="0"/>
        <w:autoSpaceDE/>
        <w:autoSpaceDN/>
        <w:bidi w:val="0"/>
        <w:adjustRightInd w:val="0"/>
        <w:snapToGrid/>
        <w:spacing w:before="247" w:beforeLines="50" w:after="0" w:line="530" w:lineRule="exact"/>
        <w:ind w:firstLine="560" w:firstLineChars="200"/>
        <w:textAlignment w:val="auto"/>
        <w:rPr>
          <w:rFonts w:hint="eastAsia" w:ascii="黑体" w:hAnsi="黑体"/>
          <w:b w:val="0"/>
          <w:bCs w:val="0"/>
        </w:rPr>
      </w:pPr>
      <w:r>
        <w:rPr>
          <w:rFonts w:hint="eastAsia" w:ascii="黑体" w:hAnsi="黑体"/>
          <w:b w:val="0"/>
          <w:bCs w:val="0"/>
        </w:rPr>
        <w:t>六、履约验收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bCs/>
          <w:sz w:val="28"/>
          <w:szCs w:val="28"/>
          <w:lang w:eastAsia="zh-CN"/>
        </w:rPr>
        <w:t>本合同交付</w:t>
      </w:r>
      <w:r>
        <w:rPr>
          <w:rFonts w:hint="eastAsia" w:ascii="仿宋" w:hAnsi="仿宋" w:eastAsia="仿宋_GB2312"/>
          <w:bCs/>
          <w:sz w:val="28"/>
          <w:szCs w:val="28"/>
        </w:rPr>
        <w:t>服务</w:t>
      </w:r>
      <w:r>
        <w:rPr>
          <w:rFonts w:hint="eastAsia" w:ascii="仿宋" w:hAnsi="仿宋"/>
          <w:bCs/>
          <w:sz w:val="28"/>
          <w:szCs w:val="28"/>
          <w:lang w:eastAsia="zh-CN"/>
        </w:rPr>
        <w:t>的</w:t>
      </w:r>
      <w:r>
        <w:rPr>
          <w:rFonts w:hint="eastAsia" w:ascii="仿宋" w:hAnsi="仿宋" w:eastAsia="仿宋_GB2312"/>
          <w:bCs/>
          <w:sz w:val="28"/>
          <w:szCs w:val="28"/>
        </w:rPr>
        <w:t>履约验收，其方式、程序、内容和验收标准等事项，按甲方规定执行。</w:t>
      </w:r>
      <w:r>
        <w:rPr>
          <w:rFonts w:hint="eastAsia" w:ascii="楷体_GB2312" w:hAnsi="楷体_GB2312" w:eastAsia="楷体_GB2312" w:cs="楷体_GB2312"/>
          <w:bCs/>
          <w:sz w:val="24"/>
          <w:szCs w:val="24"/>
          <w:lang w:eastAsia="zh-CN"/>
        </w:rPr>
        <w:t>（应在采购文件中予以明确，特别是涉及经费事项）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（一）</w:t>
      </w:r>
      <w:bookmarkStart w:id="3" w:name="_Hlk129347058"/>
      <w:r>
        <w:rPr>
          <w:rFonts w:hint="eastAsia" w:ascii="仿宋" w:hAnsi="仿宋" w:eastAsia="仿宋_GB2312"/>
          <w:bCs/>
          <w:sz w:val="28"/>
          <w:szCs w:val="28"/>
        </w:rPr>
        <w:t>服务</w:t>
      </w:r>
      <w:bookmarkEnd w:id="3"/>
      <w:r>
        <w:rPr>
          <w:rFonts w:hint="eastAsia" w:ascii="仿宋" w:hAnsi="仿宋" w:eastAsia="仿宋_GB2312"/>
          <w:bCs/>
          <w:sz w:val="28"/>
          <w:szCs w:val="28"/>
        </w:rPr>
        <w:t>分期考核验收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1.甲方按合同约定的分期考核内容、标准对乙方实施的服务进行验收。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2.合同约定的分期考核内容包括日常督导考核、岗位督查、专项检查、特殊部位或者场所检查、满意度调查、合同履约综合评价等。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（1）日常督导考核。甲方按考核标准对乙方实施的服务进行日常巡查，发现问题告知乙方，并做好督查记录。甲方根据乙方改进情况和问题的严重程度，按考核标准对乙方进行处理。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（2）岗位督查。甲方按考核标准检查乙方服务人员到岗情况，发现缺岗的，甲方按考核标准对乙方进行处理。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（3）专项检查。甲方针对服务的重点、难点问题或管理要求进行专项检查，双方共同记录。乙方对甲方在专项检查中发现问题，应当予以整改。乙方问题多次出现或整改不力的，甲方按考核标准进行处理。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（4）特殊部位或者场所检查。甲方对服务区域的特殊部位或者场所进行检查，发现问题甲方按考核标准对乙方进行处理。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（5）满意度调查：甲方按合同约定的考核时间组织服务对象或者委托第三方对服务效果进行满意度调查。甲方根据调查结果，按考核标准对乙方进行奖励或处罚。</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（6）合同履约综合评价：甲方按合同约定的考核时间对乙方合同履行情况进行综合评价，综合评价可作为款项支付以及续签合同的依据。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3.服务分期考核内容、标准：</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4.服务分期考核验收的其他要求：</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u w:val="single"/>
        </w:rPr>
      </w:pPr>
      <w:r>
        <w:rPr>
          <w:rFonts w:hint="eastAsia" w:ascii="仿宋_GB2312" w:hAnsi="仿宋_GB2312" w:eastAsia="仿宋_GB2312" w:cs="仿宋_GB2312"/>
          <w:bCs/>
          <w:sz w:val="28"/>
          <w:szCs w:val="28"/>
        </w:rPr>
        <w:t>5.考核的其他要求：</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二</w:t>
      </w:r>
      <w:r>
        <w:rPr>
          <w:rFonts w:hint="eastAsia" w:ascii="仿宋_GB2312" w:hAnsi="仿宋_GB2312" w:eastAsia="仿宋_GB2312" w:cs="仿宋_GB2312"/>
          <w:bCs/>
          <w:sz w:val="28"/>
          <w:szCs w:val="28"/>
        </w:rPr>
        <w:t>）验收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1.乙方完成全部服务内容并具备验收条件，由乙方向甲方提出验收申请，由甲方组织验收，出具验收报告。验收相关费用</w:t>
      </w:r>
      <w:r>
        <w:rPr>
          <w:rFonts w:hint="eastAsia" w:cs="仿宋_GB2312"/>
          <w:bCs/>
          <w:sz w:val="28"/>
          <w:szCs w:val="28"/>
          <w:lang w:eastAsia="zh-CN"/>
        </w:rPr>
        <w:t>由</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承担。</w:t>
      </w:r>
      <w:r>
        <w:rPr>
          <w:rFonts w:hint="eastAsia" w:ascii="楷体_GB2312" w:hAnsi="楷体_GB2312" w:eastAsia="楷体_GB2312" w:cs="楷体_GB2312"/>
          <w:sz w:val="24"/>
          <w:szCs w:val="24"/>
          <w:lang w:eastAsia="zh-CN"/>
        </w:rPr>
        <w:t>（一般由甲方承担，采购文件有明确要求的除外）</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2.项目验收中，国家有强制性规定的，按国家规定执行。</w:t>
      </w:r>
      <w:r>
        <w:rPr>
          <w:rFonts w:hint="eastAsia" w:cs="仿宋_GB2312"/>
          <w:bCs/>
          <w:sz w:val="28"/>
          <w:szCs w:val="28"/>
          <w:lang w:eastAsia="zh-CN"/>
        </w:rPr>
        <w:t>采购</w:t>
      </w:r>
      <w:r>
        <w:rPr>
          <w:rFonts w:hint="eastAsia" w:ascii="仿宋_GB2312" w:hAnsi="仿宋_GB2312" w:eastAsia="仿宋_GB2312" w:cs="仿宋_GB2312"/>
          <w:bCs/>
          <w:sz w:val="28"/>
          <w:szCs w:val="28"/>
        </w:rPr>
        <w:t>文件、乙方的承诺及投标</w:t>
      </w:r>
      <w:r>
        <w:rPr>
          <w:rFonts w:hint="eastAsia" w:cs="仿宋_GB2312"/>
          <w:bCs/>
          <w:sz w:val="28"/>
          <w:szCs w:val="28"/>
          <w:lang w:eastAsia="zh-CN"/>
        </w:rPr>
        <w:t>（报价）</w:t>
      </w:r>
      <w:r>
        <w:rPr>
          <w:rFonts w:hint="eastAsia" w:ascii="仿宋_GB2312" w:hAnsi="仿宋_GB2312" w:eastAsia="仿宋_GB2312" w:cs="仿宋_GB2312"/>
          <w:bCs/>
          <w:sz w:val="28"/>
          <w:szCs w:val="28"/>
        </w:rPr>
        <w:t>文件、本合同及补充协议均成为本项目验收依据。验收过程中产生纠纷或存在异议的，由国家认可的检测机构检测，出具检测报告，检测费用由</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承担。</w:t>
      </w:r>
      <w:r>
        <w:rPr>
          <w:rFonts w:hint="eastAsia" w:ascii="楷体_GB2312" w:hAnsi="楷体_GB2312" w:eastAsia="楷体_GB2312" w:cs="楷体_GB2312"/>
          <w:sz w:val="24"/>
          <w:szCs w:val="24"/>
          <w:lang w:eastAsia="zh-CN"/>
        </w:rPr>
        <w:t>（一般由甲方承担，采购文件有明确要求的除外）</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3.项目验收不合格，由乙方返工直至合格，连续</w:t>
      </w:r>
      <w:r>
        <w:rPr>
          <w:rFonts w:hint="eastAsia" w:cs="仿宋_GB2312"/>
          <w:bCs/>
          <w:sz w:val="28"/>
          <w:szCs w:val="28"/>
          <w:lang w:val="en-US" w:eastAsia="zh-CN"/>
        </w:rPr>
        <w:t>2</w:t>
      </w:r>
      <w:r>
        <w:rPr>
          <w:rFonts w:hint="eastAsia" w:ascii="仿宋_GB2312" w:hAnsi="仿宋_GB2312" w:eastAsia="仿宋_GB2312" w:cs="仿宋_GB2312"/>
          <w:bCs/>
          <w:sz w:val="28"/>
          <w:szCs w:val="28"/>
        </w:rPr>
        <w:t>次项目验收不合格的，甲方可终止合同，由此带来的一切损失由乙方承担。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4.验收的其他要求：</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□七、物资编目编码、打码贴签要求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服务类采购项目涉及配套或相关物资的，按照下列要求对物资进行编</w:t>
      </w:r>
      <w:r>
        <w:rPr>
          <w:rFonts w:hint="eastAsia" w:ascii="仿宋_GB2312" w:hAnsi="仿宋_GB2312" w:eastAsia="仿宋_GB2312" w:cs="仿宋_GB2312"/>
          <w:bCs/>
          <w:sz w:val="28"/>
          <w:szCs w:val="28"/>
        </w:rPr>
        <w:t>目编码和打码贴签。</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可通过军队采购网互联网网站（www.plap.mil.cn），下载安装编目用户终端软件。按要求录入采购物资数据，导入技术规范、产品说明书、图片等便于物资识别的电子文件资料，生成编目申请数据包，提交甲方或承担军队资产编目编码职能的单位。</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2.乙方应当配合甲方或承担军队资产编目编码职能的单位，补充完善编目数据。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3.乙方通过甲方接收赋码后的编目数据包，导入编目用户终端软件，获取品种码，正确填入合同文本，用于打码贴签、验收结算等。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4.甲方有单件管理需要的，乙方应当依据规则或示例程序自行生成单件码。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（二）乙方应当按照统一要求在物资交付</w:t>
      </w:r>
      <w:r>
        <w:rPr>
          <w:rFonts w:hint="eastAsia" w:cs="仿宋_GB2312"/>
          <w:bCs/>
          <w:sz w:val="28"/>
          <w:szCs w:val="28"/>
          <w:lang w:eastAsia="zh-CN"/>
        </w:rPr>
        <w:t>货</w:t>
      </w:r>
      <w:r>
        <w:rPr>
          <w:rFonts w:hint="eastAsia" w:ascii="仿宋_GB2312" w:hAnsi="仿宋_GB2312" w:eastAsia="仿宋_GB2312" w:cs="仿宋_GB2312"/>
          <w:bCs/>
          <w:sz w:val="28"/>
          <w:szCs w:val="28"/>
        </w:rPr>
        <w:t>前完成打码贴签工作。</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1.物资标识标签格式、张挂位置、材质、码制等内容，应当符合军队有关要求。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2.物资标识标签上的品种码应当与合同物资明细表中的品种码完全一致。</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（三）物资编目数据填报和打码贴签情况，列入出厂</w:t>
      </w:r>
      <w:r>
        <w:rPr>
          <w:rFonts w:hint="eastAsia" w:cs="仿宋_GB2312"/>
          <w:bCs/>
          <w:sz w:val="28"/>
          <w:szCs w:val="28"/>
          <w:lang w:eastAsia="zh-CN"/>
        </w:rPr>
        <w:t>检验</w:t>
      </w:r>
      <w:r>
        <w:rPr>
          <w:rFonts w:hint="eastAsia" w:ascii="仿宋_GB2312" w:hAnsi="仿宋_GB2312" w:eastAsia="仿宋_GB2312" w:cs="仿宋_GB2312"/>
          <w:bCs/>
          <w:sz w:val="28"/>
          <w:szCs w:val="28"/>
        </w:rPr>
        <w:t>、到货</w:t>
      </w:r>
      <w:r>
        <w:rPr>
          <w:rFonts w:hint="eastAsia" w:cs="仿宋_GB2312"/>
          <w:bCs/>
          <w:sz w:val="28"/>
          <w:szCs w:val="28"/>
          <w:lang w:eastAsia="zh-CN"/>
        </w:rPr>
        <w:t>检验内容，</w:t>
      </w:r>
      <w:r>
        <w:rPr>
          <w:rFonts w:hint="eastAsia" w:ascii="仿宋_GB2312" w:hAnsi="仿宋_GB2312" w:eastAsia="仿宋_GB2312" w:cs="仿宋_GB2312"/>
          <w:bCs/>
          <w:sz w:val="28"/>
          <w:szCs w:val="28"/>
        </w:rPr>
        <w:t>编目数据、标识标签不符合规范要求的，不予通过，不得进入物资储存单位。乙方应当在7日内完成整改</w:t>
      </w:r>
      <w:r>
        <w:rPr>
          <w:rFonts w:hint="eastAsia" w:cs="仿宋_GB2312"/>
          <w:bCs/>
          <w:sz w:val="28"/>
          <w:szCs w:val="28"/>
          <w:lang w:eastAsia="zh-CN"/>
        </w:rPr>
        <w:t>，并重新进行检验</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□八、保密要求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sym w:font="Wingdings 2" w:char="00A3"/>
      </w:r>
      <w:r>
        <w:rPr>
          <w:rFonts w:hint="eastAsia" w:ascii="黑体" w:hAnsi="黑体" w:eastAsia="黑体" w:cs="黑体"/>
          <w:bCs/>
          <w:sz w:val="28"/>
          <w:szCs w:val="28"/>
        </w:rPr>
        <w:t>九、履约保证金</w:t>
      </w:r>
      <w:r>
        <w:rPr>
          <w:rFonts w:hint="eastAsia" w:ascii="楷体_GB2312" w:hAnsi="楷体_GB2312" w:eastAsia="楷体_GB2312" w:cs="楷体_GB2312"/>
          <w:b w:val="0"/>
          <w:bCs w:val="0"/>
          <w:sz w:val="24"/>
          <w:szCs w:val="24"/>
          <w:lang w:eastAsia="zh-CN"/>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（一）本合同履约保证金为合同金额的</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bCs/>
          <w:sz w:val="28"/>
          <w:szCs w:val="28"/>
          <w:lang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rPr>
        <w:t>（不超过10%）</w:t>
      </w:r>
      <w:r>
        <w:rPr>
          <w:rFonts w:hint="eastAsia" w:ascii="仿宋" w:hAnsi="仿宋" w:eastAsia="仿宋_GB2312"/>
          <w:bCs/>
          <w:sz w:val="28"/>
          <w:szCs w:val="28"/>
        </w:rPr>
        <w:t>。</w:t>
      </w:r>
      <w:r>
        <w:rPr>
          <w:rFonts w:hint="eastAsia" w:ascii="仿宋_GB2312" w:hAnsi="仿宋_GB2312" w:eastAsia="仿宋_GB2312" w:cs="仿宋_GB2312"/>
          <w:bCs/>
          <w:sz w:val="28"/>
          <w:szCs w:val="28"/>
        </w:rPr>
        <w:t>乙方应当在签订合同前</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日内缴纳履约保证金。</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（二）乙方在合同履行过程中存在违约行为，合同被甲方终止的，</w:t>
      </w:r>
      <w:r>
        <w:rPr>
          <w:rFonts w:hint="eastAsia" w:cs="仿宋_GB2312"/>
          <w:bCs/>
          <w:sz w:val="28"/>
          <w:szCs w:val="28"/>
          <w:lang w:eastAsia="zh-CN"/>
        </w:rPr>
        <w:t>甲方有权没收乙方</w:t>
      </w:r>
      <w:r>
        <w:rPr>
          <w:rFonts w:hint="eastAsia" w:ascii="仿宋_GB2312" w:hAnsi="仿宋_GB2312" w:eastAsia="仿宋_GB2312" w:cs="仿宋_GB2312"/>
          <w:bCs/>
          <w:sz w:val="28"/>
          <w:szCs w:val="28"/>
        </w:rPr>
        <w:t>履约保证金。</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（三）履约保证金在合同最终支付结算时，无息返还。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（四）乙方应当向甲方支付合同项下的违约金或赔偿金时，甲方有权从履约保证金中予以扣除。</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十、资金结算</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（一）合同约定采用下列之一的方式进行资金结算：</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本合同无</w:t>
      </w:r>
      <w:r>
        <w:rPr>
          <w:rFonts w:hint="eastAsia" w:ascii="仿宋_GB2312" w:hAnsi="仿宋_GB2312" w:eastAsia="仿宋_GB2312" w:cs="仿宋_GB2312"/>
          <w:bCs/>
          <w:sz w:val="28"/>
          <w:szCs w:val="28"/>
          <w:lang w:val="zh-CN"/>
        </w:rPr>
        <w:t>预付款，服务完成</w:t>
      </w:r>
      <w:r>
        <w:rPr>
          <w:rFonts w:hint="eastAsia" w:cs="仿宋_GB2312"/>
          <w:bCs/>
          <w:sz w:val="28"/>
          <w:szCs w:val="28"/>
          <w:lang w:val="zh-CN"/>
        </w:rPr>
        <w:t>并验收合格</w:t>
      </w:r>
      <w:r>
        <w:rPr>
          <w:rFonts w:hint="eastAsia" w:ascii="仿宋_GB2312" w:hAnsi="仿宋_GB2312" w:eastAsia="仿宋_GB2312" w:cs="仿宋_GB2312"/>
          <w:bCs/>
          <w:sz w:val="28"/>
          <w:szCs w:val="28"/>
          <w:lang w:val="zh-CN"/>
        </w:rPr>
        <w:t>后，乙方收集发票、验收报告等</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zh-CN"/>
        </w:rPr>
        <w:t>，提交</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办理结算手续，</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在</w:t>
      </w:r>
      <w:r>
        <w:rPr>
          <w:rFonts w:hint="eastAsia" w:ascii="仿宋_GB2312" w:hAnsi="仿宋_GB2312" w:eastAsia="仿宋_GB2312" w:cs="仿宋_GB2312"/>
          <w:bCs/>
          <w:sz w:val="28"/>
          <w:szCs w:val="28"/>
          <w:u w:val="single"/>
          <w:lang w:val="zh-CN"/>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lang w:val="zh-CN"/>
        </w:rPr>
        <w:t>日内向乙方支付</w:t>
      </w:r>
      <w:r>
        <w:rPr>
          <w:rFonts w:hint="eastAsia" w:cs="仿宋_GB2312"/>
          <w:bCs/>
          <w:sz w:val="28"/>
          <w:szCs w:val="28"/>
          <w:lang w:val="zh-CN"/>
        </w:rPr>
        <w:t>全部合同款项，即</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zh-CN"/>
        </w:rPr>
        <w:t>。</w:t>
      </w:r>
      <w:r>
        <w:rPr>
          <w:rFonts w:hint="eastAsia" w:ascii="楷体_GB2312" w:hAnsi="楷体_GB2312" w:eastAsia="楷体_GB2312" w:cs="楷体_GB2312"/>
          <w:bCs/>
          <w:sz w:val="24"/>
          <w:szCs w:val="24"/>
        </w:rPr>
        <w:t>（适用于采购金额小履约周期短的采购项目）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lang w:val="zh-CN"/>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zh-CN"/>
        </w:rPr>
        <w:t>合同签订后</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日内</w:t>
      </w:r>
      <w:r>
        <w:rPr>
          <w:rFonts w:hint="eastAsia" w:ascii="仿宋" w:hAnsi="仿宋"/>
          <w:bCs/>
          <w:sz w:val="28"/>
          <w:szCs w:val="28"/>
          <w:lang w:val="zh-CN"/>
        </w:rPr>
        <w:t>，甲方预付合同金额的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w:t>
      </w:r>
      <w:r>
        <w:rPr>
          <w:rFonts w:hint="eastAsia" w:ascii="仿宋" w:hAnsi="仿宋"/>
          <w:bCs/>
          <w:sz w:val="28"/>
          <w:szCs w:val="28"/>
          <w:lang w:val="zh-CN"/>
        </w:rPr>
        <w:t>，即</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u w:val="none"/>
        </w:rPr>
        <w:t>（</w:t>
      </w:r>
      <w:r>
        <w:rPr>
          <w:rFonts w:hint="eastAsia" w:ascii="楷体_GB2312" w:hAnsi="楷体_GB2312" w:eastAsia="楷体_GB2312" w:cs="楷体_GB2312"/>
          <w:bCs/>
          <w:sz w:val="24"/>
          <w:szCs w:val="24"/>
          <w:u w:val="none"/>
          <w:lang w:eastAsia="zh-CN"/>
        </w:rPr>
        <w:t>不得</w:t>
      </w:r>
      <w:r>
        <w:rPr>
          <w:rFonts w:hint="eastAsia" w:ascii="楷体_GB2312" w:hAnsi="楷体_GB2312" w:eastAsia="楷体_GB2312" w:cs="楷体_GB2312"/>
          <w:bCs/>
          <w:sz w:val="24"/>
          <w:szCs w:val="24"/>
          <w:u w:val="none"/>
        </w:rPr>
        <w:t>超过</w:t>
      </w:r>
      <w:r>
        <w:rPr>
          <w:rFonts w:hint="eastAsia" w:ascii="楷体_GB2312" w:hAnsi="楷体_GB2312" w:eastAsia="楷体_GB2312" w:cs="楷体_GB2312"/>
          <w:bCs/>
          <w:sz w:val="24"/>
          <w:szCs w:val="24"/>
          <w:u w:val="none"/>
          <w:lang w:eastAsia="zh-CN"/>
        </w:rPr>
        <w:t>合同金额的</w:t>
      </w:r>
      <w:r>
        <w:rPr>
          <w:rFonts w:hint="eastAsia" w:ascii="楷体_GB2312" w:hAnsi="楷体_GB2312" w:eastAsia="楷体_GB2312" w:cs="楷体_GB2312"/>
          <w:bCs/>
          <w:sz w:val="24"/>
          <w:szCs w:val="24"/>
          <w:u w:val="none"/>
        </w:rPr>
        <w:t>30%）</w:t>
      </w:r>
      <w:r>
        <w:rPr>
          <w:rFonts w:hint="eastAsia" w:ascii="仿宋_GB2312" w:hAnsi="仿宋_GB2312" w:eastAsia="仿宋_GB2312" w:cs="仿宋_GB2312"/>
          <w:bCs/>
          <w:sz w:val="28"/>
          <w:szCs w:val="28"/>
          <w:lang w:val="zh-CN"/>
        </w:rPr>
        <w:t>，服务完成</w:t>
      </w:r>
      <w:r>
        <w:rPr>
          <w:rFonts w:hint="eastAsia" w:cs="仿宋_GB2312"/>
          <w:bCs/>
          <w:sz w:val="28"/>
          <w:szCs w:val="28"/>
          <w:lang w:val="zh-CN"/>
        </w:rPr>
        <w:t>并验收合格</w:t>
      </w:r>
      <w:r>
        <w:rPr>
          <w:rFonts w:hint="eastAsia" w:ascii="仿宋_GB2312" w:hAnsi="仿宋_GB2312" w:eastAsia="仿宋_GB2312" w:cs="仿宋_GB2312"/>
          <w:bCs/>
          <w:sz w:val="28"/>
          <w:szCs w:val="28"/>
          <w:lang w:val="zh-CN"/>
        </w:rPr>
        <w:t>后，乙方向</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提交发票、验收报告等结算</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zh-CN"/>
        </w:rPr>
        <w:t>，</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在</w:t>
      </w:r>
      <w:r>
        <w:rPr>
          <w:rFonts w:hint="eastAsia" w:ascii="仿宋" w:hAnsi="仿宋" w:eastAsia="仿宋_GB2312"/>
          <w:bCs/>
          <w:sz w:val="28"/>
          <w:szCs w:val="28"/>
          <w:u w:val="single"/>
          <w:lang w:val="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lang w:val="zh-CN"/>
        </w:rPr>
        <w:t xml:space="preserve"> </w:t>
      </w:r>
      <w:r>
        <w:rPr>
          <w:rFonts w:hint="eastAsia" w:ascii="仿宋_GB2312" w:hAnsi="仿宋_GB2312" w:eastAsia="仿宋_GB2312" w:cs="仿宋_GB2312"/>
          <w:bCs/>
          <w:sz w:val="28"/>
          <w:szCs w:val="28"/>
          <w:lang w:val="zh-CN"/>
        </w:rPr>
        <w:t>日内</w:t>
      </w:r>
      <w:r>
        <w:rPr>
          <w:rFonts w:hint="eastAsia" w:ascii="仿宋" w:hAnsi="仿宋" w:eastAsia="仿宋_GB2312"/>
          <w:bCs/>
          <w:sz w:val="28"/>
          <w:szCs w:val="28"/>
          <w:lang w:val="zh-CN"/>
        </w:rPr>
        <w:t>向乙方支付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楷体_GB2312" w:hAnsi="楷体_GB2312" w:eastAsia="楷体_GB2312" w:cs="楷体_GB2312"/>
          <w:bCs/>
          <w:sz w:val="24"/>
          <w:szCs w:val="24"/>
          <w:u w:val="none"/>
          <w:lang w:val="zh-CN"/>
        </w:rPr>
      </w:pP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分阶段付款，第一阶段，乙方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；第二阶段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；第三阶段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r>
        <w:rPr>
          <w:rFonts w:hint="eastAsia" w:ascii="楷体_GB2312" w:hAnsi="楷体_GB2312" w:eastAsia="楷体_GB2312" w:cs="楷体_GB2312"/>
          <w:bCs/>
          <w:sz w:val="24"/>
          <w:szCs w:val="24"/>
          <w:u w:val="none"/>
          <w:lang w:val="zh-CN"/>
        </w:rPr>
        <w:t>（支付阶段、结算依据和比例根据军队财务规定和项目情况确定）</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eastAsia="仿宋_GB2312"/>
          <w:bCs/>
          <w:sz w:val="28"/>
          <w:szCs w:val="28"/>
          <w:lang w:val="zh-CN"/>
        </w:rPr>
        <w:t>其他方式</w:t>
      </w:r>
      <w:r>
        <w:rPr>
          <w:rFonts w:hint="eastAsia" w:ascii="仿宋" w:hAnsi="仿宋" w:eastAsia="仿宋_GB2312"/>
          <w:bCs/>
          <w:sz w:val="28"/>
          <w:szCs w:val="28"/>
        </w:rPr>
        <w:t>：</w:t>
      </w:r>
      <w:r>
        <w:rPr>
          <w:rFonts w:hint="eastAsia" w:ascii="仿宋_GB2312" w:hAnsi="仿宋_GB2312" w:eastAsia="仿宋_GB2312" w:cs="仿宋_GB2312"/>
          <w:bCs/>
          <w:sz w:val="28"/>
          <w:szCs w:val="28"/>
          <w:u w:val="single"/>
          <w:lang w:val="zh-CN"/>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bookmarkStart w:id="4" w:name="_Hlk129354415"/>
      <w:r>
        <w:rPr>
          <w:rFonts w:hint="eastAsia" w:ascii="仿宋" w:hAnsi="仿宋" w:eastAsia="仿宋_GB2312"/>
          <w:bCs/>
          <w:sz w:val="28"/>
          <w:szCs w:val="28"/>
        </w:rPr>
        <w:t>（二）乙方应当向甲方支付合同项下的违约金或赔偿金时，甲方有权从上述任何一笔应当付款中予以扣除。</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（三）在结算过程中，乙方出具虚假发票或其他虚假材料的，按照提供虚假材料情况处理。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（四）未经军队采购平台合同管理信息系统编号或者未按照要求进行备案的物资工程服务采购合同书，不得办理支付手续。</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十一、违约责任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bookmarkStart w:id="5" w:name="_Hlk129348417"/>
      <w:r>
        <w:rPr>
          <w:rFonts w:hint="eastAsia" w:ascii="仿宋_GB2312" w:hAnsi="仿宋_GB2312" w:eastAsia="仿宋_GB2312" w:cs="仿宋_GB2312"/>
          <w:bCs/>
          <w:sz w:val="28"/>
          <w:szCs w:val="28"/>
        </w:rPr>
        <w:t>（一）乙方未经甲方同意而延期履行的，应当向甲方偿付违约金，违约金每天按合同金额的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计算，违约金最高限额为合同金额的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。如果达到违约金最高限额时仍不能履行，或</w:t>
      </w:r>
      <w:r>
        <w:rPr>
          <w:rFonts w:hint="eastAsia" w:cs="仿宋_GB2312"/>
          <w:bCs/>
          <w:sz w:val="28"/>
          <w:szCs w:val="28"/>
          <w:lang w:eastAsia="zh-CN"/>
        </w:rPr>
        <w:t>因延期履行</w:t>
      </w:r>
      <w:r>
        <w:rPr>
          <w:rFonts w:hint="eastAsia" w:ascii="仿宋_GB2312" w:hAnsi="仿宋_GB2312" w:eastAsia="仿宋_GB2312" w:cs="仿宋_GB2312"/>
          <w:bCs/>
          <w:sz w:val="28"/>
          <w:szCs w:val="28"/>
        </w:rPr>
        <w:t>影响甲方任务实施，甲方可以终止合同，而由此给甲方造成的实际损失，乙方应当给予足额赔偿。</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_GB2312" w:hAnsi="仿宋_GB2312" w:eastAsia="仿宋_GB2312" w:cs="仿宋_GB2312"/>
          <w:bCs/>
          <w:sz w:val="28"/>
          <w:szCs w:val="28"/>
        </w:rPr>
        <w:t>（二）</w:t>
      </w:r>
      <w:bookmarkEnd w:id="5"/>
      <w:bookmarkStart w:id="6" w:name="_Hlk129350035"/>
      <w:r>
        <w:rPr>
          <w:rFonts w:hint="eastAsia" w:ascii="仿宋_GB2312" w:hAnsi="仿宋_GB2312" w:eastAsia="仿宋_GB2312" w:cs="仿宋_GB2312"/>
          <w:bCs/>
          <w:sz w:val="28"/>
          <w:szCs w:val="28"/>
        </w:rPr>
        <w:t>乙方</w:t>
      </w:r>
      <w:bookmarkEnd w:id="6"/>
      <w:r>
        <w:rPr>
          <w:rFonts w:hint="eastAsia" w:ascii="仿宋_GB2312" w:hAnsi="仿宋_GB2312" w:eastAsia="仿宋_GB2312" w:cs="仿宋_GB2312"/>
          <w:bCs/>
          <w:sz w:val="28"/>
          <w:szCs w:val="28"/>
        </w:rPr>
        <w:t>不能满足</w:t>
      </w:r>
      <w:bookmarkStart w:id="7" w:name="_Hlk129355209"/>
      <w:r>
        <w:rPr>
          <w:rFonts w:hint="eastAsia" w:ascii="仿宋_GB2312" w:hAnsi="仿宋_GB2312" w:eastAsia="仿宋_GB2312" w:cs="仿宋_GB2312"/>
          <w:bCs/>
          <w:sz w:val="28"/>
          <w:szCs w:val="28"/>
        </w:rPr>
        <w:t>合同约定</w:t>
      </w:r>
      <w:bookmarkEnd w:id="7"/>
      <w:r>
        <w:rPr>
          <w:rFonts w:hint="eastAsia" w:ascii="仿宋_GB2312" w:hAnsi="仿宋_GB2312" w:eastAsia="仿宋_GB2312" w:cs="仿宋_GB2312"/>
          <w:bCs/>
          <w:sz w:val="28"/>
          <w:szCs w:val="28"/>
        </w:rPr>
        <w:t>的服务内容和标准等要求的，甲方可按</w:t>
      </w:r>
      <w:r>
        <w:rPr>
          <w:rFonts w:hint="eastAsia" w:ascii="仿宋" w:hAnsi="仿宋" w:eastAsia="仿宋_GB2312"/>
          <w:bCs/>
          <w:sz w:val="28"/>
          <w:szCs w:val="28"/>
        </w:rPr>
        <w:t>合同约定的分期考核标准扣减相应的服务酬金。因乙方违反合同约定给甲方造成损失的，乙方应当赔偿甲方损失。</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（三）甲方需按约定及时足额支付服务款，未按约定及时足额支付服</w:t>
      </w:r>
      <w:r>
        <w:rPr>
          <w:rFonts w:hint="eastAsia" w:ascii="仿宋_GB2312" w:hAnsi="仿宋_GB2312" w:eastAsia="仿宋_GB2312" w:cs="仿宋_GB2312"/>
          <w:bCs/>
          <w:sz w:val="28"/>
          <w:szCs w:val="28"/>
        </w:rPr>
        <w:t>务款时，甲方向乙方偿付违约金。每迟付一天按</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（通常为1‰-1%，可按照项目实际情况设定）</w:t>
      </w:r>
      <w:r>
        <w:rPr>
          <w:rFonts w:hint="eastAsia" w:ascii="仿宋_GB2312" w:hAnsi="仿宋_GB2312" w:eastAsia="仿宋_GB2312" w:cs="仿宋_GB2312"/>
          <w:bCs/>
          <w:sz w:val="28"/>
          <w:szCs w:val="28"/>
        </w:rPr>
        <w:t>向乙方偿付违约金，违约金最高限额为</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w:t>
      </w:r>
    </w:p>
    <w:p>
      <w:pPr>
        <w:adjustRightInd w:val="0"/>
        <w:spacing w:line="530" w:lineRule="exact"/>
        <w:ind w:firstLine="560" w:firstLineChars="200"/>
        <w:rPr>
          <w:rFonts w:hint="eastAsia" w:ascii="仿宋" w:hAnsi="仿宋"/>
          <w:bCs/>
          <w:sz w:val="28"/>
          <w:szCs w:val="28"/>
        </w:rPr>
      </w:pPr>
      <w:r>
        <w:rPr>
          <w:rFonts w:hint="eastAsia" w:ascii="仿宋" w:hAnsi="仿宋" w:eastAsia="仿宋_GB2312"/>
          <w:bCs/>
          <w:sz w:val="28"/>
          <w:szCs w:val="28"/>
        </w:rPr>
        <w:t>（</w:t>
      </w:r>
      <w:r>
        <w:rPr>
          <w:rFonts w:hint="eastAsia" w:ascii="仿宋" w:hAnsi="仿宋"/>
          <w:bCs/>
          <w:sz w:val="28"/>
          <w:szCs w:val="28"/>
          <w:lang w:eastAsia="zh-CN"/>
        </w:rPr>
        <w:t>四</w:t>
      </w:r>
      <w:r>
        <w:rPr>
          <w:rFonts w:hint="eastAsia" w:ascii="仿宋" w:hAnsi="仿宋" w:eastAsia="仿宋_GB2312"/>
          <w:bCs/>
          <w:sz w:val="28"/>
          <w:szCs w:val="28"/>
        </w:rPr>
        <w:t>）</w:t>
      </w:r>
      <w:r>
        <w:rPr>
          <w:rFonts w:hint="eastAsia" w:ascii="仿宋" w:hAnsi="仿宋"/>
          <w:bCs/>
          <w:sz w:val="28"/>
          <w:szCs w:val="28"/>
          <w:lang w:eastAsia="zh-CN"/>
        </w:rPr>
        <w:t>如因不可抗力事件导致一方无法履行合同，该方应立即书面通知对方，并在合理期限内提供权威机构出具的证明。受影响方应尽力减轻不可抗力事件所造成的影响</w:t>
      </w:r>
      <w:r>
        <w:rPr>
          <w:rFonts w:hint="eastAsia" w:ascii="仿宋" w:hAnsi="仿宋" w:eastAsia="仿宋_GB2312"/>
          <w:bCs/>
          <w:sz w:val="28"/>
          <w:szCs w:val="28"/>
        </w:rPr>
        <w:t>。</w:t>
      </w:r>
      <w:r>
        <w:rPr>
          <w:rFonts w:hint="eastAsia" w:ascii="仿宋" w:hAnsi="仿宋"/>
          <w:bCs/>
          <w:sz w:val="28"/>
          <w:szCs w:val="28"/>
          <w:lang w:eastAsia="zh-CN"/>
        </w:rPr>
        <w:t>如法律对不可抗力有其他规定，或合同迟延履行后发生不可抗力事件，本条款不免除违约方的责任。</w:t>
      </w:r>
    </w:p>
    <w:bookmarkEnd w:id="4"/>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十二、争议解决方式</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合同履行过程中发生争议，先按照合同通用条款约定的争议解决方式处理，处理不成功的，甲方或者乙方可以按下列方式提起仲裁或诉讼</w:t>
      </w:r>
      <w:r>
        <w:rPr>
          <w:rFonts w:hint="eastAsia" w:ascii="楷体_GB2312" w:hAnsi="楷体_GB2312" w:eastAsia="楷体_GB2312" w:cs="楷体_GB2312"/>
          <w:bCs/>
          <w:sz w:val="24"/>
          <w:szCs w:val="24"/>
        </w:rPr>
        <w:t>（此条款为单选，不选或全选无效）</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□向</w:t>
      </w:r>
      <w:r>
        <w:rPr>
          <w:rFonts w:hint="eastAsia" w:ascii="仿宋" w:hAnsi="仿宋"/>
          <w:sz w:val="28"/>
          <w:szCs w:val="28"/>
          <w:u w:val="single"/>
          <w:lang w:val="en-US" w:eastAsia="zh-CN"/>
        </w:rPr>
        <w:t xml:space="preserve">             </w:t>
      </w:r>
      <w:r>
        <w:rPr>
          <w:rFonts w:hint="eastAsia" w:ascii="楷体_GB2312" w:hAnsi="楷体_GB2312" w:eastAsia="楷体_GB2312" w:cs="楷体_GB2312"/>
          <w:bCs/>
          <w:sz w:val="24"/>
          <w:szCs w:val="24"/>
        </w:rPr>
        <w:t>（甲方所在地仲裁机构名称）</w:t>
      </w:r>
      <w:r>
        <w:rPr>
          <w:rFonts w:hint="eastAsia" w:ascii="仿宋" w:hAnsi="仿宋" w:eastAsia="仿宋_GB2312"/>
          <w:bCs/>
          <w:sz w:val="28"/>
          <w:szCs w:val="28"/>
        </w:rPr>
        <w:t>提起仲裁。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□向甲方所在地人民法院提起诉讼。</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十三、合同生效</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（一）经双方法定代表人或授权代表签字并经单位盖章后生效。未经甲方允许，乙方不得部分或全部转让其应当履行的合同义务。</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（二）本合同一式</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rPr>
        <w:t>份，由双方各执一份，甲方财务结算部门一份，</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十四、其他事项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 w:val="0"/>
          <w:bCs/>
          <w:sz w:val="28"/>
          <w:szCs w:val="28"/>
        </w:rPr>
      </w:pPr>
      <w:r>
        <w:rPr>
          <w:rFonts w:hint="eastAsia" w:ascii="仿宋" w:hAnsi="仿宋" w:eastAsia="仿宋_GB2312"/>
          <w:sz w:val="28"/>
          <w:szCs w:val="28"/>
        </w:rPr>
        <w:t>□</w:t>
      </w:r>
      <w:r>
        <w:rPr>
          <w:rFonts w:hint="eastAsia" w:ascii="仿宋" w:hAnsi="仿宋" w:eastAsia="仿宋_GB2312"/>
          <w:b w:val="0"/>
          <w:bCs/>
          <w:sz w:val="28"/>
          <w:szCs w:val="28"/>
        </w:rPr>
        <w:t>（</w:t>
      </w:r>
      <w:r>
        <w:rPr>
          <w:rFonts w:hint="eastAsia" w:ascii="仿宋" w:hAnsi="仿宋"/>
          <w:b w:val="0"/>
          <w:bCs/>
          <w:sz w:val="28"/>
          <w:szCs w:val="28"/>
          <w:lang w:eastAsia="zh-CN"/>
        </w:rPr>
        <w:t>一</w:t>
      </w:r>
      <w:r>
        <w:rPr>
          <w:rFonts w:hint="eastAsia" w:ascii="仿宋" w:hAnsi="仿宋" w:eastAsia="仿宋_GB2312"/>
          <w:b w:val="0"/>
          <w:bCs/>
          <w:sz w:val="28"/>
          <w:szCs w:val="28"/>
        </w:rPr>
        <w:t>）基于合同履行形成的知识产权和其他权益，其权属归</w:t>
      </w:r>
      <w:r>
        <w:rPr>
          <w:rFonts w:hint="eastAsia" w:ascii="仿宋" w:hAnsi="仿宋"/>
          <w:b w:val="0"/>
          <w:bCs/>
          <w:sz w:val="28"/>
          <w:szCs w:val="28"/>
          <w:u w:val="single"/>
          <w:lang w:val="en-US" w:eastAsia="zh-CN"/>
        </w:rPr>
        <w:t xml:space="preserve">    </w:t>
      </w:r>
      <w:r>
        <w:rPr>
          <w:rFonts w:hint="eastAsia" w:ascii="楷体_GB2312" w:hAnsi="楷体_GB2312" w:eastAsia="楷体_GB2312" w:cs="楷体_GB2312"/>
          <w:b w:val="0"/>
          <w:bCs/>
          <w:sz w:val="24"/>
          <w:szCs w:val="24"/>
          <w:u w:val="none"/>
          <w:lang w:val="en-US" w:eastAsia="zh-CN"/>
        </w:rPr>
        <w:t>（按项目实际情况确定，并在采购文件中予以明确）</w:t>
      </w:r>
      <w:r>
        <w:rPr>
          <w:rFonts w:hint="eastAsia" w:ascii="仿宋" w:hAnsi="仿宋" w:eastAsia="仿宋_GB2312"/>
          <w:b w:val="0"/>
          <w:bCs/>
          <w:sz w:val="28"/>
          <w:szCs w:val="28"/>
        </w:rPr>
        <w:t>所有，法律</w:t>
      </w:r>
      <w:r>
        <w:rPr>
          <w:rFonts w:hint="eastAsia" w:ascii="仿宋" w:hAnsi="仿宋"/>
          <w:b w:val="0"/>
          <w:bCs/>
          <w:sz w:val="28"/>
          <w:szCs w:val="28"/>
          <w:lang w:eastAsia="zh-CN"/>
        </w:rPr>
        <w:t>法规</w:t>
      </w:r>
      <w:r>
        <w:rPr>
          <w:rFonts w:hint="eastAsia" w:ascii="仿宋" w:hAnsi="仿宋" w:eastAsia="仿宋_GB2312"/>
          <w:b w:val="0"/>
          <w:bCs/>
          <w:sz w:val="28"/>
          <w:szCs w:val="28"/>
        </w:rPr>
        <w:t>另有规定的除外。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bCs/>
          <w:sz w:val="28"/>
          <w:szCs w:val="28"/>
          <w:lang w:eastAsia="zh-CN"/>
        </w:rPr>
        <w:t>（二）</w:t>
      </w:r>
      <w:r>
        <w:rPr>
          <w:rFonts w:hint="eastAsia" w:ascii="仿宋" w:hAnsi="仿宋" w:eastAsia="仿宋_GB2312"/>
          <w:bCs/>
          <w:sz w:val="28"/>
          <w:szCs w:val="28"/>
        </w:rPr>
        <w:t>其他：</w:t>
      </w:r>
      <w:r>
        <w:rPr>
          <w:rFonts w:hint="eastAsia" w:ascii="仿宋_GB2312" w:hAnsi="仿宋_GB2312" w:eastAsia="仿宋_GB2312" w:cs="仿宋_GB2312"/>
          <w:bCs/>
          <w:sz w:val="28"/>
          <w:szCs w:val="28"/>
          <w:u w:val="single"/>
        </w:rPr>
        <w:t xml:space="preserve">                                          </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sym w:font="Wingdings 2" w:char="00A3"/>
      </w:r>
      <w:r>
        <w:rPr>
          <w:rFonts w:hint="eastAsia" w:ascii="黑体" w:hAnsi="黑体" w:eastAsia="黑体" w:cs="黑体"/>
          <w:bCs/>
          <w:sz w:val="28"/>
          <w:szCs w:val="28"/>
        </w:rPr>
        <w:t>十五、附件</w:t>
      </w:r>
    </w:p>
    <w:p>
      <w:pPr>
        <w:pStyle w:val="8"/>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ascii="仿宋" w:hAnsi="仿宋" w:eastAsia="仿宋_GB2312"/>
          <w:bCs/>
          <w:sz w:val="28"/>
          <w:szCs w:val="28"/>
        </w:rPr>
      </w:pPr>
    </w:p>
    <w:p>
      <w:pPr>
        <w:pStyle w:val="8"/>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single"/>
          <w:lang w:eastAsia="zh-CN"/>
        </w:rPr>
        <w:t>中标</w:t>
      </w:r>
      <w:r>
        <w:rPr>
          <w:rFonts w:hint="eastAsia" w:ascii="仿宋" w:hAnsi="仿宋"/>
          <w:bCs/>
          <w:color w:val="auto"/>
          <w:sz w:val="28"/>
          <w:szCs w:val="28"/>
          <w:highlight w:val="none"/>
          <w:u w:val="single"/>
          <w:lang w:eastAsia="zh-CN"/>
        </w:rPr>
        <w:t>（成交）</w:t>
      </w:r>
      <w:r>
        <w:rPr>
          <w:rFonts w:hint="eastAsia" w:ascii="仿宋" w:hAnsi="仿宋" w:eastAsia="仿宋_GB2312"/>
          <w:bCs/>
          <w:color w:val="auto"/>
          <w:sz w:val="28"/>
          <w:szCs w:val="28"/>
          <w:highlight w:val="none"/>
          <w:u w:val="single"/>
          <w:lang w:eastAsia="zh-CN"/>
        </w:rPr>
        <w:t>通知书</w:t>
      </w:r>
      <w:r>
        <w:rPr>
          <w:rFonts w:hint="eastAsia" w:ascii="仿宋" w:hAnsi="仿宋" w:eastAsia="仿宋_GB2312"/>
          <w:bCs/>
          <w:sz w:val="28"/>
          <w:szCs w:val="28"/>
        </w:rPr>
        <w:t>，均为签订合同的依据。合同签订按照《军队物资工程服务采购合同管理暂行规定》执行，内容不得与采购文件、乙方投标（报价）文件、补充文件、澄清承诺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single"/>
          <w:lang w:eastAsia="zh-CN"/>
        </w:rPr>
        <w:t>中标</w:t>
      </w:r>
      <w:r>
        <w:rPr>
          <w:rFonts w:hint="eastAsia" w:ascii="仿宋" w:hAnsi="仿宋"/>
          <w:bCs/>
          <w:color w:val="auto"/>
          <w:sz w:val="28"/>
          <w:szCs w:val="28"/>
          <w:highlight w:val="none"/>
          <w:u w:val="single"/>
          <w:lang w:eastAsia="zh-CN"/>
        </w:rPr>
        <w:t>（成交）</w:t>
      </w:r>
      <w:r>
        <w:rPr>
          <w:rFonts w:hint="eastAsia" w:ascii="仿宋" w:hAnsi="仿宋" w:eastAsia="仿宋_GB2312"/>
          <w:bCs/>
          <w:color w:val="auto"/>
          <w:sz w:val="28"/>
          <w:szCs w:val="28"/>
          <w:highlight w:val="none"/>
          <w:u w:val="single"/>
          <w:lang w:eastAsia="zh-CN"/>
        </w:rPr>
        <w:t>通知书</w:t>
      </w:r>
      <w:r>
        <w:rPr>
          <w:rFonts w:hint="eastAsia" w:ascii="仿宋" w:hAnsi="仿宋" w:eastAsia="仿宋_GB2312"/>
          <w:bCs/>
          <w:sz w:val="28"/>
          <w:szCs w:val="28"/>
        </w:rPr>
        <w:t>的实质性内容相背离。</w:t>
      </w:r>
    </w:p>
    <w:p>
      <w:pPr>
        <w:keepNext w:val="0"/>
        <w:keepLines w:val="0"/>
        <w:pageBreakBefore w:val="0"/>
        <w:widowControl w:val="0"/>
        <w:kinsoku/>
        <w:wordWrap/>
        <w:overflowPunct/>
        <w:topLinePunct w:val="0"/>
        <w:autoSpaceDE/>
        <w:autoSpaceDN/>
        <w:bidi w:val="0"/>
        <w:adjustRightInd w:val="0"/>
        <w:snapToGrid/>
        <w:spacing w:line="530" w:lineRule="exact"/>
        <w:textAlignment w:val="auto"/>
      </w:pPr>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highlight w:val="none"/>
              </w:rPr>
            </w:pPr>
            <w:r>
              <w:rPr>
                <w:rFonts w:hint="eastAsia"/>
                <w:sz w:val="28"/>
                <w:szCs w:val="22"/>
                <w:highlight w:val="none"/>
              </w:rPr>
              <w:t>甲      方：（公章）</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highlight w:val="none"/>
              </w:rPr>
            </w:pPr>
            <w:r>
              <w:rPr>
                <w:rFonts w:hint="eastAsia"/>
                <w:sz w:val="28"/>
                <w:szCs w:val="22"/>
                <w:highlight w:val="none"/>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rPr>
                <w:rFonts w:hint="eastAsia"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hint="eastAsia"/>
                <w:sz w:val="28"/>
                <w:szCs w:val="22"/>
              </w:rPr>
            </w:pPr>
            <w:r>
              <w:rPr>
                <w:rFonts w:hint="eastAsia"/>
                <w:sz w:val="28"/>
                <w:szCs w:val="22"/>
              </w:rPr>
              <w:t>统一社会信用代码：</w:t>
            </w:r>
            <w:r>
              <w:rPr>
                <w:rFonts w:hint="eastAsia"/>
                <w:sz w:val="28"/>
                <w:szCs w:val="22"/>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tc>
      </w:tr>
    </w:tbl>
    <w:p>
      <w:pPr>
        <w:pStyle w:val="2"/>
        <w:rPr>
          <w:sz w:val="11"/>
          <w:szCs w:val="8"/>
        </w:rPr>
      </w:pPr>
    </w:p>
    <w:sectPr>
      <w:pgSz w:w="11906" w:h="16838"/>
      <w:pgMar w:top="2098" w:right="1474" w:bottom="1984" w:left="1587" w:header="851" w:footer="1247" w:gutter="0"/>
      <w:pgNumType w:fmt="decimal"/>
      <w:cols w:space="0" w:num="1"/>
      <w:rtlGutter w:val="0"/>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AgniRv0wAAAAYBAAAPAAAAAAAAAAEAIAAAADgA&#10;AABkcnMvZG93bnJldi54bWxQSwECFAAUAAAACACHTuJAJIJGtDECAABhBAAADgAAAAAAAAABACAA&#10;AAA4AQAAZHJzL2Uyb0RvYy54bWxQSwUGAAAAAAYABgBZAQAA2w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sdt>
      <w:sdtPr>
        <w:id w:val="1827858875"/>
      </w:sdtP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iRJeMQIAAGE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MIkSXjECAABhBAAADgAAAAAAAAABACAAAAA1&#10;AQAAZHJzL2Uyb0RvYy54bWxQSwUGAAAAAAYABgBZAQAA2A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C1F82"/>
    <w:rsid w:val="000C5371"/>
    <w:rsid w:val="000C7B09"/>
    <w:rsid w:val="000D5B1A"/>
    <w:rsid w:val="000E3F45"/>
    <w:rsid w:val="000F10C7"/>
    <w:rsid w:val="001063B2"/>
    <w:rsid w:val="00106F13"/>
    <w:rsid w:val="001109AE"/>
    <w:rsid w:val="00114A46"/>
    <w:rsid w:val="001167C6"/>
    <w:rsid w:val="0013471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3599"/>
    <w:rsid w:val="001B429D"/>
    <w:rsid w:val="001C10E2"/>
    <w:rsid w:val="001D236F"/>
    <w:rsid w:val="001D6619"/>
    <w:rsid w:val="001E03FD"/>
    <w:rsid w:val="001E22E0"/>
    <w:rsid w:val="001E26E5"/>
    <w:rsid w:val="001F0CA1"/>
    <w:rsid w:val="001F2F1E"/>
    <w:rsid w:val="00206504"/>
    <w:rsid w:val="00210100"/>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1017"/>
    <w:rsid w:val="00281AD4"/>
    <w:rsid w:val="002A56E4"/>
    <w:rsid w:val="002A70B0"/>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22F21"/>
    <w:rsid w:val="00335027"/>
    <w:rsid w:val="00337074"/>
    <w:rsid w:val="00340437"/>
    <w:rsid w:val="003518C3"/>
    <w:rsid w:val="00356577"/>
    <w:rsid w:val="00372CA8"/>
    <w:rsid w:val="00373982"/>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31"/>
    <w:rsid w:val="00522DE1"/>
    <w:rsid w:val="00523C88"/>
    <w:rsid w:val="00526FC6"/>
    <w:rsid w:val="005340BB"/>
    <w:rsid w:val="00537355"/>
    <w:rsid w:val="00543992"/>
    <w:rsid w:val="00556D2B"/>
    <w:rsid w:val="00567057"/>
    <w:rsid w:val="00571850"/>
    <w:rsid w:val="00576E05"/>
    <w:rsid w:val="0057704C"/>
    <w:rsid w:val="005853FD"/>
    <w:rsid w:val="0059270E"/>
    <w:rsid w:val="005A33C5"/>
    <w:rsid w:val="005A37DB"/>
    <w:rsid w:val="005B6937"/>
    <w:rsid w:val="005B7763"/>
    <w:rsid w:val="005C093D"/>
    <w:rsid w:val="005C0CDF"/>
    <w:rsid w:val="005C3150"/>
    <w:rsid w:val="005C6EE5"/>
    <w:rsid w:val="005D04BC"/>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F271C"/>
    <w:rsid w:val="006F59C7"/>
    <w:rsid w:val="00701AF6"/>
    <w:rsid w:val="00716062"/>
    <w:rsid w:val="007161D8"/>
    <w:rsid w:val="00721E58"/>
    <w:rsid w:val="007227B1"/>
    <w:rsid w:val="007263E1"/>
    <w:rsid w:val="007448A7"/>
    <w:rsid w:val="00745E18"/>
    <w:rsid w:val="00747F6D"/>
    <w:rsid w:val="007516F8"/>
    <w:rsid w:val="00767053"/>
    <w:rsid w:val="00777C35"/>
    <w:rsid w:val="007817CE"/>
    <w:rsid w:val="0079553E"/>
    <w:rsid w:val="007A0319"/>
    <w:rsid w:val="007A1132"/>
    <w:rsid w:val="007C46A3"/>
    <w:rsid w:val="007C6371"/>
    <w:rsid w:val="007C637B"/>
    <w:rsid w:val="007C6E9F"/>
    <w:rsid w:val="007D4353"/>
    <w:rsid w:val="007E12D9"/>
    <w:rsid w:val="007E2910"/>
    <w:rsid w:val="007E3439"/>
    <w:rsid w:val="007E39FF"/>
    <w:rsid w:val="007E3D89"/>
    <w:rsid w:val="007E5972"/>
    <w:rsid w:val="007E5BE2"/>
    <w:rsid w:val="007F1BEF"/>
    <w:rsid w:val="007F6CA7"/>
    <w:rsid w:val="007F79D6"/>
    <w:rsid w:val="008131F3"/>
    <w:rsid w:val="00814AB4"/>
    <w:rsid w:val="0081621A"/>
    <w:rsid w:val="00824EA3"/>
    <w:rsid w:val="00824F51"/>
    <w:rsid w:val="00825228"/>
    <w:rsid w:val="00826154"/>
    <w:rsid w:val="008353D6"/>
    <w:rsid w:val="00840CFB"/>
    <w:rsid w:val="00845E44"/>
    <w:rsid w:val="0086367F"/>
    <w:rsid w:val="0087359E"/>
    <w:rsid w:val="00873723"/>
    <w:rsid w:val="00874AB4"/>
    <w:rsid w:val="0087728C"/>
    <w:rsid w:val="00896F68"/>
    <w:rsid w:val="008973AE"/>
    <w:rsid w:val="008A7EB9"/>
    <w:rsid w:val="008B16D1"/>
    <w:rsid w:val="008B2ABC"/>
    <w:rsid w:val="008D2597"/>
    <w:rsid w:val="008D3D6D"/>
    <w:rsid w:val="008D42DA"/>
    <w:rsid w:val="008D5072"/>
    <w:rsid w:val="008D62A5"/>
    <w:rsid w:val="008E1148"/>
    <w:rsid w:val="008E2554"/>
    <w:rsid w:val="008F30AC"/>
    <w:rsid w:val="00907106"/>
    <w:rsid w:val="009117BE"/>
    <w:rsid w:val="009245B0"/>
    <w:rsid w:val="00934805"/>
    <w:rsid w:val="009414E0"/>
    <w:rsid w:val="0095113D"/>
    <w:rsid w:val="00963927"/>
    <w:rsid w:val="009674A0"/>
    <w:rsid w:val="00971015"/>
    <w:rsid w:val="0097148D"/>
    <w:rsid w:val="009836A7"/>
    <w:rsid w:val="009944D5"/>
    <w:rsid w:val="00995C7E"/>
    <w:rsid w:val="009A5E7A"/>
    <w:rsid w:val="009A696A"/>
    <w:rsid w:val="009C13BF"/>
    <w:rsid w:val="009C58DA"/>
    <w:rsid w:val="009D10A9"/>
    <w:rsid w:val="009D5DB0"/>
    <w:rsid w:val="009E09D4"/>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83883"/>
    <w:rsid w:val="00B921AF"/>
    <w:rsid w:val="00B92B57"/>
    <w:rsid w:val="00BA6D5C"/>
    <w:rsid w:val="00BB500A"/>
    <w:rsid w:val="00BD0EF7"/>
    <w:rsid w:val="00BD288A"/>
    <w:rsid w:val="00BD3184"/>
    <w:rsid w:val="00BD505F"/>
    <w:rsid w:val="00BE0321"/>
    <w:rsid w:val="00BE2D7B"/>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4863"/>
    <w:rsid w:val="00C7496E"/>
    <w:rsid w:val="00C74C76"/>
    <w:rsid w:val="00C76D1B"/>
    <w:rsid w:val="00C8545E"/>
    <w:rsid w:val="00C92EC9"/>
    <w:rsid w:val="00C932CD"/>
    <w:rsid w:val="00C950F2"/>
    <w:rsid w:val="00CA4016"/>
    <w:rsid w:val="00CB175F"/>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A4DB6"/>
    <w:rsid w:val="00DB445E"/>
    <w:rsid w:val="00DB7DA2"/>
    <w:rsid w:val="00DE0141"/>
    <w:rsid w:val="00DE5FFF"/>
    <w:rsid w:val="00DE7989"/>
    <w:rsid w:val="00DE7F6D"/>
    <w:rsid w:val="00DF07B2"/>
    <w:rsid w:val="00E0418A"/>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7065"/>
    <w:rsid w:val="00EF02D0"/>
    <w:rsid w:val="00EF3FEF"/>
    <w:rsid w:val="00EF664A"/>
    <w:rsid w:val="00EF74CF"/>
    <w:rsid w:val="00F0159F"/>
    <w:rsid w:val="00F129A5"/>
    <w:rsid w:val="00F129AB"/>
    <w:rsid w:val="00F12B2A"/>
    <w:rsid w:val="00F23DCE"/>
    <w:rsid w:val="00F26501"/>
    <w:rsid w:val="00F3145D"/>
    <w:rsid w:val="00F32C9C"/>
    <w:rsid w:val="00F34113"/>
    <w:rsid w:val="00F3445E"/>
    <w:rsid w:val="00F35B27"/>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F5996"/>
    <w:rsid w:val="00FF5ACE"/>
    <w:rsid w:val="025F381E"/>
    <w:rsid w:val="02AF6C34"/>
    <w:rsid w:val="06730E82"/>
    <w:rsid w:val="079C0686"/>
    <w:rsid w:val="0EA4586B"/>
    <w:rsid w:val="1042079B"/>
    <w:rsid w:val="10586D21"/>
    <w:rsid w:val="105D1C3D"/>
    <w:rsid w:val="111B47A3"/>
    <w:rsid w:val="118C0B23"/>
    <w:rsid w:val="11C1264C"/>
    <w:rsid w:val="12353479"/>
    <w:rsid w:val="1771452D"/>
    <w:rsid w:val="17C12D99"/>
    <w:rsid w:val="183F360B"/>
    <w:rsid w:val="18BE3DB0"/>
    <w:rsid w:val="19413279"/>
    <w:rsid w:val="19D441C5"/>
    <w:rsid w:val="1C3B2DA5"/>
    <w:rsid w:val="1D2E1A11"/>
    <w:rsid w:val="1E1B571D"/>
    <w:rsid w:val="204E13A2"/>
    <w:rsid w:val="224F1184"/>
    <w:rsid w:val="22EC72A1"/>
    <w:rsid w:val="234745A7"/>
    <w:rsid w:val="235252E9"/>
    <w:rsid w:val="236E25F3"/>
    <w:rsid w:val="251C40EE"/>
    <w:rsid w:val="26103889"/>
    <w:rsid w:val="272E7CC9"/>
    <w:rsid w:val="2807684B"/>
    <w:rsid w:val="286375C7"/>
    <w:rsid w:val="2B94540E"/>
    <w:rsid w:val="2BB13488"/>
    <w:rsid w:val="2BB83D60"/>
    <w:rsid w:val="2CEA118B"/>
    <w:rsid w:val="303A0873"/>
    <w:rsid w:val="304D71D6"/>
    <w:rsid w:val="30A4127D"/>
    <w:rsid w:val="31786C1C"/>
    <w:rsid w:val="31E620EA"/>
    <w:rsid w:val="32014534"/>
    <w:rsid w:val="33EF1CF9"/>
    <w:rsid w:val="343B02B7"/>
    <w:rsid w:val="34A360AF"/>
    <w:rsid w:val="353545B1"/>
    <w:rsid w:val="35456ED6"/>
    <w:rsid w:val="35890C9A"/>
    <w:rsid w:val="35ED0128"/>
    <w:rsid w:val="38204CE3"/>
    <w:rsid w:val="3927471D"/>
    <w:rsid w:val="39947FCC"/>
    <w:rsid w:val="39A26CBE"/>
    <w:rsid w:val="3A3466CD"/>
    <w:rsid w:val="3ACC05A4"/>
    <w:rsid w:val="3D250077"/>
    <w:rsid w:val="3D3704D4"/>
    <w:rsid w:val="3D507670"/>
    <w:rsid w:val="405144D0"/>
    <w:rsid w:val="41277BB4"/>
    <w:rsid w:val="43743E09"/>
    <w:rsid w:val="46DC47D7"/>
    <w:rsid w:val="47CE5F0A"/>
    <w:rsid w:val="485817EC"/>
    <w:rsid w:val="494C7DBA"/>
    <w:rsid w:val="4B9906B2"/>
    <w:rsid w:val="4BC971DC"/>
    <w:rsid w:val="4C4C4058"/>
    <w:rsid w:val="4CD907DF"/>
    <w:rsid w:val="4D566849"/>
    <w:rsid w:val="4D751AA2"/>
    <w:rsid w:val="4D9E3E51"/>
    <w:rsid w:val="4E461062"/>
    <w:rsid w:val="4E5630F4"/>
    <w:rsid w:val="500378F9"/>
    <w:rsid w:val="511E62EB"/>
    <w:rsid w:val="54207520"/>
    <w:rsid w:val="5521098F"/>
    <w:rsid w:val="55CC794D"/>
    <w:rsid w:val="55EB60F2"/>
    <w:rsid w:val="57B808B5"/>
    <w:rsid w:val="57FC1D45"/>
    <w:rsid w:val="594C595D"/>
    <w:rsid w:val="59A9180C"/>
    <w:rsid w:val="5A160E4E"/>
    <w:rsid w:val="5D8B16A6"/>
    <w:rsid w:val="5E162DDF"/>
    <w:rsid w:val="61764BE2"/>
    <w:rsid w:val="61D62FCE"/>
    <w:rsid w:val="620B7AFA"/>
    <w:rsid w:val="624406FC"/>
    <w:rsid w:val="633927C0"/>
    <w:rsid w:val="63C673D2"/>
    <w:rsid w:val="643C1CEA"/>
    <w:rsid w:val="64E57406"/>
    <w:rsid w:val="685202C9"/>
    <w:rsid w:val="698373A1"/>
    <w:rsid w:val="6B7E0745"/>
    <w:rsid w:val="6C5D6058"/>
    <w:rsid w:val="6C6C23C8"/>
    <w:rsid w:val="6C755464"/>
    <w:rsid w:val="6F8253A9"/>
    <w:rsid w:val="6FBB6940"/>
    <w:rsid w:val="70CA367A"/>
    <w:rsid w:val="71752373"/>
    <w:rsid w:val="71833D4B"/>
    <w:rsid w:val="73804A61"/>
    <w:rsid w:val="73D31B98"/>
    <w:rsid w:val="747D0702"/>
    <w:rsid w:val="75B36843"/>
    <w:rsid w:val="76C42446"/>
    <w:rsid w:val="78C468FB"/>
    <w:rsid w:val="797567D1"/>
    <w:rsid w:val="7CAE2BD2"/>
    <w:rsid w:val="7CBC5B13"/>
    <w:rsid w:val="7EE62606"/>
    <w:rsid w:val="7F357B1D"/>
    <w:rsid w:val="7F503D18"/>
    <w:rsid w:val="7FA94E19"/>
    <w:rsid w:val="7FCD7D17"/>
    <w:rsid w:val="BDFFF9B2"/>
    <w:rsid w:val="E0D90E71"/>
    <w:rsid w:val="EEF37CD0"/>
    <w:rsid w:val="FFE6C498"/>
    <w:rsid w:val="FFFF69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3"/>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21"/>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22"/>
    <w:qFormat/>
    <w:uiPriority w:val="0"/>
    <w:pPr>
      <w:spacing w:after="120"/>
    </w:pPr>
  </w:style>
  <w:style w:type="paragraph" w:styleId="7">
    <w:name w:val="annotation text"/>
    <w:basedOn w:val="1"/>
    <w:link w:val="30"/>
    <w:unhideWhenUsed/>
    <w:qFormat/>
    <w:uiPriority w:val="99"/>
    <w:pPr>
      <w:jc w:val="left"/>
    </w:pPr>
  </w:style>
  <w:style w:type="paragraph" w:styleId="8">
    <w:name w:val="Plain Text"/>
    <w:basedOn w:val="1"/>
    <w:link w:val="25"/>
    <w:qFormat/>
    <w:uiPriority w:val="0"/>
    <w:rPr>
      <w:rFonts w:ascii="宋体" w:hAnsi="Courier New" w:cs="Courier New"/>
      <w:szCs w:val="21"/>
    </w:rPr>
  </w:style>
  <w:style w:type="paragraph" w:styleId="9">
    <w:name w:val="Balloon Text"/>
    <w:basedOn w:val="1"/>
    <w:link w:val="32"/>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qFormat/>
    <w:uiPriority w:val="99"/>
    <w:rPr>
      <w:color w:val="136EC2"/>
      <w:u w:val="single"/>
    </w:rPr>
  </w:style>
  <w:style w:type="character" w:styleId="16">
    <w:name w:val="annotation reference"/>
    <w:basedOn w:val="14"/>
    <w:unhideWhenUsed/>
    <w:qFormat/>
    <w:uiPriority w:val="99"/>
    <w:rPr>
      <w:sz w:val="21"/>
      <w:szCs w:val="21"/>
    </w:rPr>
  </w:style>
  <w:style w:type="character" w:customStyle="1" w:styleId="17">
    <w:name w:val="标题 2 字符"/>
    <w:basedOn w:val="14"/>
    <w:semiHidden/>
    <w:qFormat/>
    <w:uiPriority w:val="9"/>
    <w:rPr>
      <w:rFonts w:asciiTheme="majorHAnsi" w:hAnsiTheme="majorHAnsi" w:eastAsiaTheme="majorEastAsia" w:cstheme="majorBidi"/>
      <w:b/>
      <w:bCs/>
      <w:sz w:val="32"/>
      <w:szCs w:val="32"/>
    </w:rPr>
  </w:style>
  <w:style w:type="character" w:customStyle="1" w:styleId="18">
    <w:name w:val="标题 4 字符"/>
    <w:basedOn w:val="14"/>
    <w:semiHidden/>
    <w:qFormat/>
    <w:uiPriority w:val="9"/>
    <w:rPr>
      <w:rFonts w:asciiTheme="majorHAnsi" w:hAnsiTheme="majorHAnsi" w:eastAsiaTheme="majorEastAsia" w:cstheme="majorBidi"/>
      <w:b/>
      <w:bCs/>
      <w:sz w:val="28"/>
      <w:szCs w:val="28"/>
    </w:rPr>
  </w:style>
  <w:style w:type="character" w:customStyle="1" w:styleId="19">
    <w:name w:val="正文文本 字符"/>
    <w:basedOn w:val="14"/>
    <w:qFormat/>
    <w:uiPriority w:val="0"/>
    <w:rPr>
      <w:rFonts w:ascii="Times New Roman" w:hAnsi="Times New Roman" w:eastAsia="宋体" w:cs="Times New Roman"/>
      <w:szCs w:val="24"/>
    </w:rPr>
  </w:style>
  <w:style w:type="character" w:customStyle="1" w:styleId="20">
    <w:name w:val="标题 2 字符1"/>
    <w:basedOn w:val="14"/>
    <w:link w:val="4"/>
    <w:qFormat/>
    <w:uiPriority w:val="0"/>
    <w:rPr>
      <w:rFonts w:ascii="Arial" w:hAnsi="Arial" w:eastAsia="方正小标宋简体" w:cs="Times New Roman"/>
      <w:b/>
      <w:bCs/>
      <w:sz w:val="44"/>
      <w:szCs w:val="32"/>
    </w:rPr>
  </w:style>
  <w:style w:type="character" w:customStyle="1" w:styleId="21">
    <w:name w:val="标题 4 字符1"/>
    <w:basedOn w:val="14"/>
    <w:link w:val="6"/>
    <w:qFormat/>
    <w:uiPriority w:val="0"/>
    <w:rPr>
      <w:rFonts w:ascii="Arial" w:hAnsi="Arial" w:eastAsia="黑体" w:cs="Times New Roman"/>
      <w:b/>
      <w:bCs/>
      <w:sz w:val="28"/>
      <w:szCs w:val="28"/>
    </w:rPr>
  </w:style>
  <w:style w:type="character" w:customStyle="1" w:styleId="22">
    <w:name w:val="正文文本 字符1"/>
    <w:basedOn w:val="14"/>
    <w:link w:val="2"/>
    <w:qFormat/>
    <w:uiPriority w:val="0"/>
    <w:rPr>
      <w:rFonts w:ascii="Times New Roman" w:hAnsi="Times New Roman" w:eastAsia="宋体" w:cs="Times New Roman"/>
      <w:szCs w:val="24"/>
    </w:rPr>
  </w:style>
  <w:style w:type="character" w:customStyle="1" w:styleId="23">
    <w:name w:val="标题 3 字符"/>
    <w:basedOn w:val="14"/>
    <w:link w:val="5"/>
    <w:qFormat/>
    <w:uiPriority w:val="0"/>
    <w:rPr>
      <w:rFonts w:ascii="Times New Roman" w:hAnsi="Times New Roman" w:eastAsia="黑体" w:cs="Times New Roman"/>
      <w:b/>
      <w:bCs/>
      <w:sz w:val="32"/>
      <w:szCs w:val="32"/>
    </w:rPr>
  </w:style>
  <w:style w:type="character" w:customStyle="1" w:styleId="24">
    <w:name w:val="纯文本 字符"/>
    <w:basedOn w:val="14"/>
    <w:semiHidden/>
    <w:qFormat/>
    <w:uiPriority w:val="99"/>
    <w:rPr>
      <w:rFonts w:hAnsi="Courier New" w:cs="Courier New" w:asciiTheme="minorEastAsia"/>
      <w:szCs w:val="24"/>
    </w:rPr>
  </w:style>
  <w:style w:type="character" w:customStyle="1" w:styleId="25">
    <w:name w:val="纯文本 字符1"/>
    <w:basedOn w:val="14"/>
    <w:link w:val="8"/>
    <w:qFormat/>
    <w:uiPriority w:val="0"/>
    <w:rPr>
      <w:rFonts w:ascii="宋体" w:hAnsi="Courier New" w:eastAsia="宋体" w:cs="Courier New"/>
      <w:szCs w:val="21"/>
    </w:rPr>
  </w:style>
  <w:style w:type="character" w:customStyle="1" w:styleId="26">
    <w:name w:val="标题 1 字符"/>
    <w:basedOn w:val="14"/>
    <w:link w:val="3"/>
    <w:qFormat/>
    <w:uiPriority w:val="9"/>
    <w:rPr>
      <w:rFonts w:ascii="Times New Roman" w:hAnsi="Times New Roman" w:eastAsia="宋体" w:cs="Times New Roman"/>
      <w:b/>
      <w:bCs/>
      <w:kern w:val="44"/>
      <w:sz w:val="44"/>
      <w:szCs w:val="44"/>
    </w:rPr>
  </w:style>
  <w:style w:type="paragraph" w:customStyle="1" w:styleId="27">
    <w:name w:val="List Paragraph"/>
    <w:basedOn w:val="1"/>
    <w:qFormat/>
    <w:uiPriority w:val="34"/>
    <w:pPr>
      <w:ind w:firstLine="420" w:firstLineChars="200"/>
    </w:pPr>
  </w:style>
  <w:style w:type="character" w:customStyle="1" w:styleId="28">
    <w:name w:val="页眉 字符"/>
    <w:basedOn w:val="14"/>
    <w:link w:val="11"/>
    <w:qFormat/>
    <w:uiPriority w:val="99"/>
    <w:rPr>
      <w:rFonts w:ascii="Times New Roman" w:hAnsi="Times New Roman" w:eastAsia="宋体" w:cs="Times New Roman"/>
      <w:sz w:val="18"/>
      <w:szCs w:val="18"/>
    </w:rPr>
  </w:style>
  <w:style w:type="character" w:customStyle="1" w:styleId="29">
    <w:name w:val="页脚 字符"/>
    <w:basedOn w:val="14"/>
    <w:link w:val="10"/>
    <w:qFormat/>
    <w:uiPriority w:val="99"/>
    <w:rPr>
      <w:rFonts w:ascii="Times New Roman" w:hAnsi="Times New Roman" w:eastAsia="宋体" w:cs="Times New Roman"/>
      <w:sz w:val="18"/>
      <w:szCs w:val="18"/>
    </w:rPr>
  </w:style>
  <w:style w:type="character" w:customStyle="1" w:styleId="30">
    <w:name w:val="批注文字 字符"/>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字符"/>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1474</Words>
  <Characters>8408</Characters>
  <Lines>70</Lines>
  <Paragraphs>19</Paragraphs>
  <TotalTime>0</TotalTime>
  <ScaleCrop>false</ScaleCrop>
  <LinksUpToDate>false</LinksUpToDate>
  <CharactersWithSpaces>9863</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2023-03-11T06:24:00Z</dcterms:created>
  <dc:creator>余文龙</dc:creator>
  <cp:lastModifiedBy>何晓娇</cp:lastModifiedBy>
  <cp:lastPrinted>2024-04-09T01:08:00Z</cp:lastPrinted>
  <dcterms:modified xsi:type="dcterms:W3CDTF">2026-04-07T11:12:39Z</dcterms:modified>
  <cp:revision>401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